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ABF" w:rsidRPr="005136F2" w:rsidRDefault="003D1ABF" w:rsidP="003D1ABF">
      <w:pPr>
        <w:rPr>
          <w:rFonts w:ascii="Book Antiqua" w:hAnsi="Book Antiqua" w:cs="Book Antiqua"/>
        </w:rPr>
      </w:pPr>
      <w:r>
        <w:rPr>
          <w:noProof/>
          <w:lang w:val="en-US"/>
        </w:rPr>
        <w:drawing>
          <wp:anchor distT="0" distB="0" distL="114300" distR="114300" simplePos="0" relativeHeight="251659264" behindDoc="1" locked="0" layoutInCell="1" allowOverlap="1" wp14:anchorId="01F285FA" wp14:editId="500A6770">
            <wp:simplePos x="0" y="0"/>
            <wp:positionH relativeFrom="column">
              <wp:posOffset>3761740</wp:posOffset>
            </wp:positionH>
            <wp:positionV relativeFrom="paragraph">
              <wp:posOffset>24130</wp:posOffset>
            </wp:positionV>
            <wp:extent cx="838200"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p>
    <w:p w:rsidR="003D1ABF" w:rsidRPr="005136F2" w:rsidRDefault="003D1ABF" w:rsidP="003D1ABF">
      <w:pPr>
        <w:rPr>
          <w:rFonts w:ascii="Book Antiqua" w:hAnsi="Book Antiqua" w:cs="Book Antiqua"/>
        </w:rPr>
      </w:pPr>
    </w:p>
    <w:p w:rsidR="003D1ABF" w:rsidRPr="005136F2" w:rsidRDefault="003D1ABF" w:rsidP="003D1ABF">
      <w:pPr>
        <w:rPr>
          <w:rFonts w:ascii="Book Antiqua" w:hAnsi="Book Antiqua" w:cs="Book Antiqua"/>
        </w:rPr>
      </w:pPr>
    </w:p>
    <w:p w:rsidR="003D1ABF" w:rsidRPr="005136F2" w:rsidRDefault="003D1ABF" w:rsidP="003D1ABF">
      <w:pPr>
        <w:rPr>
          <w:rFonts w:ascii="Book Antiqua" w:hAnsi="Book Antiqua" w:cs="Book Antiqua"/>
        </w:rPr>
      </w:pPr>
    </w:p>
    <w:p w:rsidR="003D1ABF" w:rsidRDefault="003D1ABF" w:rsidP="003D1ABF">
      <w:pPr>
        <w:rPr>
          <w:rFonts w:ascii="Book Antiqua" w:hAnsi="Book Antiqua" w:cs="Book Antiqua"/>
          <w:b/>
          <w:bCs/>
          <w:sz w:val="32"/>
          <w:szCs w:val="32"/>
        </w:rPr>
      </w:pPr>
      <w:bookmarkStart w:id="0" w:name="OLE_LINK3"/>
    </w:p>
    <w:p w:rsidR="003D1ABF" w:rsidRPr="005136F2" w:rsidRDefault="003D1ABF" w:rsidP="003D1ABF">
      <w:pPr>
        <w:jc w:val="center"/>
        <w:rPr>
          <w:rFonts w:ascii="Book Antiqua" w:eastAsia="Batang" w:hAnsi="Book Antiqua"/>
          <w:b/>
          <w:bCs/>
          <w:sz w:val="32"/>
          <w:szCs w:val="32"/>
        </w:rPr>
      </w:pPr>
      <w:r w:rsidRPr="005136F2">
        <w:rPr>
          <w:rFonts w:ascii="Book Antiqua" w:hAnsi="Book Antiqua" w:cs="Book Antiqua"/>
          <w:b/>
          <w:bCs/>
          <w:sz w:val="32"/>
          <w:szCs w:val="32"/>
        </w:rPr>
        <w:t>Republika e Kosovës</w:t>
      </w:r>
    </w:p>
    <w:p w:rsidR="003D1ABF" w:rsidRPr="005136F2" w:rsidRDefault="003D1ABF" w:rsidP="003D1ABF">
      <w:pPr>
        <w:jc w:val="center"/>
        <w:rPr>
          <w:rFonts w:ascii="Book Antiqua" w:hAnsi="Book Antiqua" w:cs="Book Antiqua"/>
          <w:b/>
          <w:bCs/>
          <w:sz w:val="26"/>
          <w:szCs w:val="26"/>
        </w:rPr>
      </w:pPr>
      <w:r w:rsidRPr="005136F2">
        <w:rPr>
          <w:rFonts w:ascii="Book Antiqua" w:eastAsia="Batang" w:hAnsi="Book Antiqua" w:cs="Book Antiqua"/>
          <w:b/>
          <w:bCs/>
          <w:sz w:val="26"/>
          <w:szCs w:val="26"/>
        </w:rPr>
        <w:t>Republika Kosova-</w:t>
      </w:r>
      <w:r w:rsidRPr="005136F2">
        <w:rPr>
          <w:rFonts w:ascii="Book Antiqua" w:hAnsi="Book Antiqua" w:cs="Book Antiqua"/>
          <w:b/>
          <w:bCs/>
          <w:sz w:val="26"/>
          <w:szCs w:val="26"/>
        </w:rPr>
        <w:t>Republic of Kosovo</w:t>
      </w:r>
    </w:p>
    <w:p w:rsidR="003D1ABF" w:rsidRPr="005136F2" w:rsidRDefault="003D1ABF" w:rsidP="003D1ABF">
      <w:pPr>
        <w:jc w:val="center"/>
        <w:rPr>
          <w:rFonts w:ascii="Book Antiqua" w:hAnsi="Book Antiqua" w:cs="Book Antiqua"/>
          <w:b/>
          <w:bCs/>
          <w:i/>
          <w:iCs/>
          <w:sz w:val="26"/>
          <w:szCs w:val="26"/>
        </w:rPr>
      </w:pPr>
      <w:r w:rsidRPr="005136F2">
        <w:rPr>
          <w:rFonts w:ascii="Book Antiqua" w:hAnsi="Book Antiqua" w:cs="Book Antiqua"/>
          <w:b/>
          <w:bCs/>
          <w:i/>
          <w:iCs/>
          <w:sz w:val="26"/>
          <w:szCs w:val="26"/>
        </w:rPr>
        <w:t>Qeveria –Vlada-Government</w:t>
      </w:r>
      <w:bookmarkEnd w:id="0"/>
    </w:p>
    <w:p w:rsidR="003D1ABF" w:rsidRPr="005136F2" w:rsidRDefault="003D1ABF" w:rsidP="003D1ABF">
      <w:pPr>
        <w:jc w:val="center"/>
        <w:rPr>
          <w:rFonts w:ascii="Book Antiqua" w:hAnsi="Book Antiqua" w:cs="Book Antiqua"/>
          <w:sz w:val="18"/>
          <w:szCs w:val="18"/>
        </w:rPr>
      </w:pPr>
    </w:p>
    <w:p w:rsidR="003D1ABF" w:rsidRPr="005136F2" w:rsidRDefault="003D1ABF" w:rsidP="003D1ABF">
      <w:pPr>
        <w:jc w:val="center"/>
        <w:rPr>
          <w:rFonts w:ascii="Book Antiqua" w:hAnsi="Book Antiqua" w:cs="Book Antiqua"/>
          <w:b/>
          <w:bCs/>
          <w:i/>
          <w:iCs/>
        </w:rPr>
      </w:pPr>
      <w:r w:rsidRPr="005136F2">
        <w:rPr>
          <w:rFonts w:ascii="Book Antiqua" w:hAnsi="Book Antiqua" w:cs="Book Antiqua"/>
          <w:b/>
          <w:bCs/>
          <w:i/>
          <w:iCs/>
        </w:rPr>
        <w:t>Ministria</w:t>
      </w:r>
      <w:r>
        <w:rPr>
          <w:rFonts w:ascii="Book Antiqua" w:hAnsi="Book Antiqua" w:cs="Book Antiqua"/>
          <w:b/>
          <w:bCs/>
          <w:i/>
          <w:iCs/>
        </w:rPr>
        <w:t xml:space="preserve"> e Financave</w:t>
      </w:r>
      <w:r w:rsidRPr="005136F2">
        <w:rPr>
          <w:rFonts w:ascii="Book Antiqua" w:hAnsi="Book Antiqua" w:cs="Book Antiqua"/>
          <w:b/>
          <w:bCs/>
          <w:i/>
          <w:iCs/>
        </w:rPr>
        <w:t xml:space="preserve">  – Ministarsvo</w:t>
      </w:r>
      <w:r>
        <w:rPr>
          <w:rFonts w:ascii="Book Antiqua" w:hAnsi="Book Antiqua" w:cs="Book Antiqua"/>
          <w:b/>
          <w:bCs/>
          <w:i/>
          <w:iCs/>
        </w:rPr>
        <w:t xml:space="preserve"> za Finansije</w:t>
      </w:r>
      <w:r w:rsidRPr="005136F2">
        <w:rPr>
          <w:rFonts w:ascii="Book Antiqua" w:hAnsi="Book Antiqua" w:cs="Book Antiqua"/>
          <w:b/>
          <w:bCs/>
          <w:i/>
          <w:iCs/>
        </w:rPr>
        <w:t xml:space="preserve"> – Ministr</w:t>
      </w:r>
      <w:r>
        <w:rPr>
          <w:rFonts w:ascii="Book Antiqua" w:hAnsi="Book Antiqua" w:cs="Book Antiqua"/>
          <w:b/>
          <w:bCs/>
          <w:i/>
          <w:iCs/>
        </w:rPr>
        <w:t>y of Finance</w:t>
      </w:r>
    </w:p>
    <w:p w:rsidR="00BE1735" w:rsidRPr="002E4C4A" w:rsidRDefault="00BE1735" w:rsidP="00E11130">
      <w:pPr>
        <w:ind w:left="-360" w:firstLine="360"/>
        <w:jc w:val="both"/>
        <w:rPr>
          <w:lang w:val="sq-AL"/>
        </w:rPr>
      </w:pPr>
    </w:p>
    <w:p w:rsidR="00BE1735" w:rsidRPr="002E4C4A" w:rsidRDefault="00BE1735" w:rsidP="00CA1187">
      <w:pPr>
        <w:jc w:val="both"/>
        <w:rPr>
          <w:b/>
          <w:bCs/>
          <w:i/>
          <w:iCs/>
          <w:color w:val="000000"/>
          <w:lang w:val="sq-AL"/>
        </w:rPr>
      </w:pPr>
    </w:p>
    <w:p w:rsidR="00BE1735" w:rsidRPr="002E4C4A" w:rsidRDefault="00BE1735" w:rsidP="00E11130">
      <w:pPr>
        <w:jc w:val="center"/>
        <w:rPr>
          <w:iCs/>
          <w:color w:val="000000"/>
          <w:sz w:val="16"/>
          <w:szCs w:val="16"/>
          <w:lang w:val="sq-AL"/>
        </w:rPr>
      </w:pPr>
      <w:r w:rsidRPr="002E4C4A">
        <w:rPr>
          <w:iCs/>
          <w:color w:val="000000"/>
          <w:sz w:val="16"/>
          <w:szCs w:val="16"/>
          <w:lang w:val="sq-AL"/>
        </w:rPr>
        <w:t>_______________________________________________________________________________________________________________________________________________________</w:t>
      </w:r>
    </w:p>
    <w:p w:rsidR="00CA1187" w:rsidRPr="00352C59" w:rsidRDefault="00CA1187" w:rsidP="004402D6">
      <w:pPr>
        <w:rPr>
          <w:bCs/>
          <w:color w:val="000000"/>
          <w:sz w:val="28"/>
          <w:szCs w:val="28"/>
          <w:lang w:val="sq-AL"/>
        </w:rPr>
      </w:pPr>
    </w:p>
    <w:p w:rsidR="00CA1187" w:rsidRPr="00352C59" w:rsidRDefault="00CA1187" w:rsidP="005F3C47">
      <w:pPr>
        <w:jc w:val="center"/>
        <w:rPr>
          <w:bCs/>
          <w:color w:val="000000"/>
          <w:sz w:val="28"/>
          <w:szCs w:val="28"/>
          <w:lang w:val="sq-AL"/>
        </w:rPr>
      </w:pPr>
    </w:p>
    <w:p w:rsidR="008603EF" w:rsidRPr="00352C59" w:rsidRDefault="00B44EDB" w:rsidP="005F3C47">
      <w:pPr>
        <w:jc w:val="center"/>
        <w:rPr>
          <w:b/>
          <w:sz w:val="28"/>
          <w:szCs w:val="28"/>
        </w:rPr>
      </w:pPr>
      <w:r w:rsidRPr="00352C59">
        <w:rPr>
          <w:b/>
          <w:sz w:val="28"/>
          <w:szCs w:val="28"/>
        </w:rPr>
        <w:t xml:space="preserve">PROJEKT </w:t>
      </w:r>
      <w:r w:rsidR="005F3C47" w:rsidRPr="00352C59">
        <w:rPr>
          <w:b/>
          <w:sz w:val="28"/>
          <w:szCs w:val="28"/>
        </w:rPr>
        <w:t>UDHËZ</w:t>
      </w:r>
      <w:r w:rsidR="008603EF" w:rsidRPr="00352C59">
        <w:rPr>
          <w:b/>
          <w:sz w:val="28"/>
          <w:szCs w:val="28"/>
        </w:rPr>
        <w:t>IM</w:t>
      </w:r>
      <w:r w:rsidR="005F3C47" w:rsidRPr="00352C59">
        <w:rPr>
          <w:b/>
          <w:sz w:val="28"/>
          <w:szCs w:val="28"/>
        </w:rPr>
        <w:t xml:space="preserve"> ADMINISTRATIV </w:t>
      </w:r>
      <w:r w:rsidRPr="00352C59">
        <w:rPr>
          <w:b/>
          <w:sz w:val="28"/>
          <w:szCs w:val="28"/>
        </w:rPr>
        <w:t>MF-</w:t>
      </w:r>
      <w:r w:rsidR="005F3C47" w:rsidRPr="00352C59">
        <w:rPr>
          <w:b/>
          <w:sz w:val="28"/>
          <w:szCs w:val="28"/>
        </w:rPr>
        <w:t xml:space="preserve"> NR. XX/</w:t>
      </w:r>
      <w:r w:rsidR="001B64EB" w:rsidRPr="00352C59">
        <w:rPr>
          <w:b/>
          <w:sz w:val="28"/>
          <w:szCs w:val="28"/>
        </w:rPr>
        <w:t xml:space="preserve">2018 </w:t>
      </w:r>
    </w:p>
    <w:p w:rsidR="005F3C47" w:rsidRPr="00352C59" w:rsidRDefault="005F3C47" w:rsidP="005F3C47">
      <w:pPr>
        <w:jc w:val="center"/>
        <w:rPr>
          <w:b/>
          <w:sz w:val="28"/>
          <w:szCs w:val="28"/>
        </w:rPr>
      </w:pPr>
      <w:r w:rsidRPr="00352C59">
        <w:rPr>
          <w:b/>
          <w:sz w:val="28"/>
          <w:szCs w:val="28"/>
        </w:rPr>
        <w:t>PËR VLERËSIMIN E RREZIKUT KOMBËTAR PËR PASTRIMIN E PARAVE DHE FINANCIMIN E TERRORIZMIT</w:t>
      </w:r>
    </w:p>
    <w:p w:rsidR="005F3C47" w:rsidRPr="00352C59" w:rsidRDefault="005F3C47" w:rsidP="005F3C47">
      <w:pPr>
        <w:jc w:val="center"/>
        <w:rPr>
          <w:rFonts w:eastAsia="Times New Roman"/>
          <w:b/>
          <w:sz w:val="28"/>
          <w:szCs w:val="28"/>
          <w:lang w:val="en-GB"/>
        </w:rPr>
      </w:pPr>
    </w:p>
    <w:p w:rsidR="005F3C47" w:rsidRDefault="005F3C47" w:rsidP="005F3C47">
      <w:pPr>
        <w:jc w:val="center"/>
        <w:rPr>
          <w:rFonts w:eastAsia="Times New Roman"/>
          <w:b/>
          <w:sz w:val="28"/>
          <w:szCs w:val="28"/>
        </w:rPr>
      </w:pPr>
    </w:p>
    <w:p w:rsidR="004402D6" w:rsidRPr="00352C59" w:rsidRDefault="004402D6" w:rsidP="005F3C47">
      <w:pPr>
        <w:jc w:val="center"/>
        <w:rPr>
          <w:rFonts w:eastAsia="Times New Roman"/>
          <w:b/>
          <w:sz w:val="28"/>
          <w:szCs w:val="28"/>
        </w:rPr>
      </w:pPr>
    </w:p>
    <w:p w:rsidR="00BE1735" w:rsidRPr="00352C59" w:rsidRDefault="00BE1735" w:rsidP="00E11130">
      <w:pPr>
        <w:jc w:val="center"/>
        <w:rPr>
          <w:b/>
          <w:sz w:val="28"/>
          <w:szCs w:val="28"/>
          <w:lang w:val="sq-AL"/>
        </w:rPr>
      </w:pPr>
    </w:p>
    <w:p w:rsidR="008603EF" w:rsidRPr="00352C59" w:rsidRDefault="005F3C47" w:rsidP="005F3C47">
      <w:pPr>
        <w:jc w:val="center"/>
        <w:rPr>
          <w:b/>
          <w:sz w:val="28"/>
          <w:szCs w:val="28"/>
        </w:rPr>
      </w:pPr>
      <w:r w:rsidRPr="00352C59">
        <w:rPr>
          <w:b/>
          <w:sz w:val="28"/>
          <w:szCs w:val="28"/>
        </w:rPr>
        <w:t>ADMINISTRATIVE INSTRUCTION OF</w:t>
      </w:r>
      <w:r w:rsidR="00B44EDB" w:rsidRPr="00352C59">
        <w:rPr>
          <w:b/>
          <w:sz w:val="28"/>
          <w:szCs w:val="28"/>
        </w:rPr>
        <w:t xml:space="preserve"> MoF</w:t>
      </w:r>
      <w:r w:rsidRPr="00352C59">
        <w:rPr>
          <w:b/>
          <w:sz w:val="28"/>
          <w:szCs w:val="28"/>
        </w:rPr>
        <w:t>– No</w:t>
      </w:r>
      <w:r w:rsidRPr="00352C59">
        <w:rPr>
          <w:b/>
          <w:bCs/>
          <w:sz w:val="28"/>
          <w:szCs w:val="28"/>
        </w:rPr>
        <w:t>.</w:t>
      </w:r>
      <w:r w:rsidRPr="00352C59">
        <w:rPr>
          <w:b/>
          <w:sz w:val="28"/>
          <w:szCs w:val="28"/>
        </w:rPr>
        <w:t xml:space="preserve"> XX/ </w:t>
      </w:r>
      <w:r w:rsidR="001B64EB" w:rsidRPr="00352C59">
        <w:rPr>
          <w:b/>
          <w:sz w:val="28"/>
          <w:szCs w:val="28"/>
        </w:rPr>
        <w:t>2018</w:t>
      </w:r>
    </w:p>
    <w:p w:rsidR="005F3C47" w:rsidRDefault="001B64EB" w:rsidP="005F3C47">
      <w:pPr>
        <w:jc w:val="center"/>
        <w:rPr>
          <w:b/>
          <w:sz w:val="28"/>
          <w:szCs w:val="28"/>
        </w:rPr>
      </w:pPr>
      <w:r w:rsidRPr="00352C59">
        <w:rPr>
          <w:b/>
          <w:sz w:val="28"/>
          <w:szCs w:val="28"/>
        </w:rPr>
        <w:t xml:space="preserve"> </w:t>
      </w:r>
      <w:r w:rsidR="005F3C47" w:rsidRPr="00352C59">
        <w:rPr>
          <w:b/>
          <w:sz w:val="28"/>
          <w:szCs w:val="28"/>
        </w:rPr>
        <w:t>ON NATIONAL MONEY LAUNDERING AND TERRORIST FINANCING RISK ASSESSMENT</w:t>
      </w:r>
    </w:p>
    <w:p w:rsidR="004402D6" w:rsidRDefault="004402D6" w:rsidP="005F3C47">
      <w:pPr>
        <w:jc w:val="center"/>
        <w:rPr>
          <w:b/>
          <w:sz w:val="28"/>
          <w:szCs w:val="28"/>
        </w:rPr>
      </w:pPr>
    </w:p>
    <w:p w:rsidR="004402D6" w:rsidRDefault="004402D6" w:rsidP="005F3C47">
      <w:pPr>
        <w:jc w:val="center"/>
        <w:rPr>
          <w:b/>
          <w:sz w:val="28"/>
          <w:szCs w:val="28"/>
        </w:rPr>
      </w:pPr>
    </w:p>
    <w:p w:rsidR="004402D6" w:rsidRPr="00352C59" w:rsidRDefault="004402D6" w:rsidP="005F3C47">
      <w:pPr>
        <w:jc w:val="center"/>
        <w:rPr>
          <w:b/>
          <w:sz w:val="28"/>
          <w:szCs w:val="28"/>
        </w:rPr>
      </w:pPr>
    </w:p>
    <w:p w:rsidR="005F3C47" w:rsidRPr="00352C59" w:rsidRDefault="005F3C47" w:rsidP="005F3C47">
      <w:pPr>
        <w:jc w:val="center"/>
        <w:rPr>
          <w:rFonts w:eastAsia="Times New Roman"/>
          <w:b/>
          <w:sz w:val="28"/>
          <w:szCs w:val="28"/>
        </w:rPr>
      </w:pPr>
    </w:p>
    <w:p w:rsidR="004402D6" w:rsidRPr="00352C59" w:rsidRDefault="004402D6" w:rsidP="004402D6">
      <w:pPr>
        <w:jc w:val="center"/>
        <w:rPr>
          <w:b/>
          <w:sz w:val="28"/>
          <w:szCs w:val="28"/>
        </w:rPr>
      </w:pPr>
      <w:r w:rsidRPr="00352C59">
        <w:rPr>
          <w:b/>
          <w:sz w:val="28"/>
          <w:szCs w:val="28"/>
        </w:rPr>
        <w:t>ADMINISTRATIVNO UPUTSTVO MF-– Br</w:t>
      </w:r>
      <w:r w:rsidRPr="00352C59">
        <w:rPr>
          <w:b/>
          <w:bCs/>
          <w:sz w:val="28"/>
          <w:szCs w:val="28"/>
        </w:rPr>
        <w:t>.</w:t>
      </w:r>
      <w:r w:rsidRPr="00352C59">
        <w:rPr>
          <w:b/>
          <w:sz w:val="28"/>
          <w:szCs w:val="28"/>
        </w:rPr>
        <w:t xml:space="preserve"> XX/ 2018 </w:t>
      </w:r>
    </w:p>
    <w:p w:rsidR="004402D6" w:rsidRPr="00352C59" w:rsidRDefault="004402D6" w:rsidP="004402D6">
      <w:pPr>
        <w:jc w:val="center"/>
        <w:rPr>
          <w:b/>
          <w:sz w:val="28"/>
          <w:szCs w:val="28"/>
        </w:rPr>
      </w:pPr>
      <w:r w:rsidRPr="00352C59">
        <w:rPr>
          <w:b/>
          <w:sz w:val="28"/>
          <w:szCs w:val="28"/>
        </w:rPr>
        <w:t>O NACIONALNOJ PROCENI RIZIKA OD PRANJA NOVCA I FINANSIRANJA TERORIZMA</w:t>
      </w:r>
    </w:p>
    <w:p w:rsidR="00BE1735" w:rsidRPr="002E4C4A" w:rsidRDefault="00BE1735" w:rsidP="00E11130">
      <w:pPr>
        <w:ind w:left="1620"/>
        <w:jc w:val="both"/>
        <w:rPr>
          <w:b/>
          <w:sz w:val="28"/>
          <w:szCs w:val="28"/>
          <w:lang w:val="sq-AL"/>
        </w:rPr>
      </w:pPr>
    </w:p>
    <w:tbl>
      <w:tblPr>
        <w:tblW w:w="1416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6"/>
        <w:gridCol w:w="4661"/>
        <w:gridCol w:w="4731"/>
      </w:tblGrid>
      <w:tr w:rsidR="00BE1735" w:rsidRPr="005C5EE7" w:rsidTr="00CA5B18">
        <w:trPr>
          <w:trHeight w:val="6200"/>
        </w:trPr>
        <w:tc>
          <w:tcPr>
            <w:tcW w:w="4776" w:type="dxa"/>
          </w:tcPr>
          <w:p w:rsidR="00B44EDB" w:rsidRDefault="00B44EDB" w:rsidP="005F3C47">
            <w:pPr>
              <w:jc w:val="both"/>
            </w:pPr>
            <w:r>
              <w:lastRenderedPageBreak/>
              <w:t>Ministri i Financave,</w:t>
            </w:r>
          </w:p>
          <w:p w:rsidR="00B44EDB" w:rsidRPr="004402D6" w:rsidRDefault="00B44EDB" w:rsidP="005F3C47">
            <w:pPr>
              <w:jc w:val="both"/>
            </w:pPr>
          </w:p>
          <w:p w:rsidR="005F3C47" w:rsidRPr="004402D6" w:rsidRDefault="005F3C47" w:rsidP="005F3C47">
            <w:pPr>
              <w:jc w:val="both"/>
              <w:rPr>
                <w:b/>
              </w:rPr>
            </w:pPr>
            <w:r w:rsidRPr="004402D6">
              <w:t xml:space="preserve">Në përputhje me nenet 18 paragrafi 1 dhe 66 paragrafi 1 të Ligjit Nr. 05/L-096 për Parandalimin e Pastrimit të Parave dhe Luftimin e Financimit të Terrorizmit (Gazeta Zyrtare e Republikës së Kosovës Nr. 18, i datës 15 qershor, 2016), </w:t>
            </w:r>
            <w:r w:rsidR="00794079" w:rsidRPr="004402D6">
              <w:t>nxjerr</w:t>
            </w:r>
            <w:r w:rsidR="002E4C4A" w:rsidRPr="004402D6">
              <w:t>:</w:t>
            </w:r>
            <w:r w:rsidRPr="004402D6">
              <w:t xml:space="preserve"> </w:t>
            </w:r>
          </w:p>
          <w:p w:rsidR="00CA5B18" w:rsidRPr="004402D6" w:rsidRDefault="00CA5B18" w:rsidP="00CA5B18">
            <w:pPr>
              <w:keepNext/>
              <w:keepLines/>
              <w:spacing w:before="200"/>
              <w:contextualSpacing/>
              <w:jc w:val="both"/>
              <w:outlineLvl w:val="2"/>
            </w:pPr>
          </w:p>
          <w:p w:rsidR="00CA5B18" w:rsidRPr="004402D6" w:rsidRDefault="00CA5B18" w:rsidP="00CA5B18">
            <w:pPr>
              <w:keepNext/>
              <w:keepLines/>
              <w:spacing w:before="200"/>
              <w:contextualSpacing/>
              <w:jc w:val="both"/>
              <w:outlineLvl w:val="2"/>
            </w:pPr>
          </w:p>
          <w:p w:rsidR="00CA5B18" w:rsidRPr="004402D6" w:rsidRDefault="001C4C11" w:rsidP="005F3C47">
            <w:pPr>
              <w:contextualSpacing/>
              <w:jc w:val="center"/>
            </w:pPr>
            <w:r w:rsidRPr="004402D6">
              <w:rPr>
                <w:b/>
              </w:rPr>
              <w:t>UDHËZ</w:t>
            </w:r>
            <w:r w:rsidR="00794079" w:rsidRPr="004402D6">
              <w:rPr>
                <w:b/>
              </w:rPr>
              <w:t>IM</w:t>
            </w:r>
            <w:r w:rsidRPr="004402D6">
              <w:rPr>
                <w:b/>
              </w:rPr>
              <w:t xml:space="preserve"> ADMINISTRATIV PËR VLERËSIMIN E RREZIKUT KOMBËTAR PËR PASTRIMIN E PARAVE DHE FINANCIMIN E TERRORIZMIT</w:t>
            </w:r>
          </w:p>
          <w:p w:rsidR="00C15D19" w:rsidRPr="004402D6" w:rsidRDefault="00C15D19" w:rsidP="00CA5B18">
            <w:pPr>
              <w:keepNext/>
              <w:keepLines/>
              <w:spacing w:before="480"/>
              <w:contextualSpacing/>
              <w:jc w:val="both"/>
              <w:outlineLvl w:val="0"/>
            </w:pPr>
          </w:p>
          <w:p w:rsidR="004402D6" w:rsidRPr="004402D6" w:rsidRDefault="001C4C11" w:rsidP="004402D6">
            <w:pPr>
              <w:jc w:val="center"/>
              <w:rPr>
                <w:b/>
              </w:rPr>
            </w:pPr>
            <w:r w:rsidRPr="004402D6">
              <w:rPr>
                <w:b/>
              </w:rPr>
              <w:t>Neni 1</w:t>
            </w:r>
          </w:p>
          <w:p w:rsidR="005F3C47" w:rsidRPr="004402D6" w:rsidRDefault="00794079" w:rsidP="004402D6">
            <w:pPr>
              <w:jc w:val="center"/>
              <w:rPr>
                <w:b/>
              </w:rPr>
            </w:pPr>
            <w:r w:rsidRPr="004402D6">
              <w:rPr>
                <w:b/>
              </w:rPr>
              <w:t>Qëllimi</w:t>
            </w:r>
          </w:p>
          <w:p w:rsidR="004402D6" w:rsidRPr="004402D6" w:rsidRDefault="004402D6" w:rsidP="004402D6">
            <w:pPr>
              <w:jc w:val="center"/>
              <w:rPr>
                <w:b/>
              </w:rPr>
            </w:pPr>
          </w:p>
          <w:p w:rsidR="005F3C47" w:rsidRPr="004402D6" w:rsidRDefault="001C4C11" w:rsidP="005F3C47">
            <w:pPr>
              <w:jc w:val="both"/>
            </w:pPr>
            <w:r w:rsidRPr="004402D6">
              <w:t xml:space="preserve">1. </w:t>
            </w:r>
            <w:r w:rsidR="00794079" w:rsidRPr="004402D6">
              <w:t xml:space="preserve">Qëllimi </w:t>
            </w:r>
            <w:r w:rsidRPr="004402D6">
              <w:t xml:space="preserve">i këtij Udhëzimi Administrativ është që në përputhje me </w:t>
            </w:r>
            <w:r w:rsidR="00794079" w:rsidRPr="004402D6">
              <w:t xml:space="preserve">nenin 18paragrafi 1 dhe nenin 66 paragrafi 1 të Ligjit Nr. 05/L-096 për Parandalimin e Pastrimit të Parave dhe Luftimin e Financimit të Terrorizmit dhe </w:t>
            </w:r>
            <w:r w:rsidRPr="004402D6">
              <w:t>Rekomandimi</w:t>
            </w:r>
            <w:r w:rsidR="00794079" w:rsidRPr="004402D6">
              <w:t>t</w:t>
            </w:r>
            <w:r w:rsidRPr="004402D6">
              <w:t xml:space="preserve"> 1</w:t>
            </w:r>
            <w:r w:rsidR="00794079" w:rsidRPr="004402D6">
              <w:t xml:space="preserve"> të </w:t>
            </w:r>
            <w:r w:rsidR="00C55735" w:rsidRPr="004402D6">
              <w:t>FATF, si</w:t>
            </w:r>
            <w:r w:rsidRPr="004402D6">
              <w:t xml:space="preserve"> dhe standarde</w:t>
            </w:r>
            <w:r w:rsidR="00C55735" w:rsidRPr="004402D6">
              <w:t>ve</w:t>
            </w:r>
            <w:r w:rsidRPr="004402D6">
              <w:t xml:space="preserve"> tjera ndërkombëtare relevante, </w:t>
            </w:r>
            <w:r w:rsidR="00C55735" w:rsidRPr="004402D6">
              <w:t xml:space="preserve">të rregulloj dhe përcaktoj procedurat standarde për </w:t>
            </w:r>
            <w:r w:rsidRPr="004402D6">
              <w:t>një proces të përgjithshëm për vlerësimin</w:t>
            </w:r>
            <w:r w:rsidR="00C55735" w:rsidRPr="004402D6">
              <w:t xml:space="preserve"> e</w:t>
            </w:r>
            <w:r w:rsidRPr="004402D6">
              <w:t xml:space="preserve"> rrezikut</w:t>
            </w:r>
            <w:r w:rsidR="00C55735" w:rsidRPr="004402D6">
              <w:t xml:space="preserve"> kombëtar për pastrimin e </w:t>
            </w:r>
            <w:r w:rsidRPr="004402D6">
              <w:t xml:space="preserve"> parave</w:t>
            </w:r>
            <w:r w:rsidR="00C55735" w:rsidRPr="004402D6">
              <w:t xml:space="preserve"> dhe</w:t>
            </w:r>
            <w:r w:rsidRPr="004402D6">
              <w:t xml:space="preserve"> financimin e terrorizmit dhe ekonomisë joformale</w:t>
            </w:r>
            <w:r w:rsidR="00C55735" w:rsidRPr="004402D6">
              <w:t xml:space="preserve">, duke </w:t>
            </w:r>
            <w:r w:rsidRPr="004402D6">
              <w:t xml:space="preserve"> përfshirë identifikimin, analizën dhe vlerësimin e rreziqeve dhe dobësitë.</w:t>
            </w:r>
          </w:p>
          <w:p w:rsidR="005F3C47" w:rsidRDefault="005F3C47" w:rsidP="004402D6">
            <w:pPr>
              <w:keepNext/>
              <w:keepLines/>
              <w:jc w:val="both"/>
              <w:outlineLvl w:val="2"/>
              <w:rPr>
                <w:lang w:val="en-GB"/>
              </w:rPr>
            </w:pPr>
          </w:p>
          <w:p w:rsidR="004402D6" w:rsidRPr="004402D6" w:rsidRDefault="004402D6" w:rsidP="004402D6">
            <w:pPr>
              <w:keepNext/>
              <w:keepLines/>
              <w:jc w:val="both"/>
              <w:outlineLvl w:val="2"/>
              <w:rPr>
                <w:lang w:val="en-GB"/>
              </w:rPr>
            </w:pPr>
          </w:p>
          <w:p w:rsidR="005F3C47" w:rsidRPr="004402D6" w:rsidRDefault="001C4C11" w:rsidP="004402D6">
            <w:pPr>
              <w:jc w:val="both"/>
            </w:pPr>
            <w:r w:rsidRPr="004402D6">
              <w:t>2. Ky Udhëz</w:t>
            </w:r>
            <w:r w:rsidR="00C55735" w:rsidRPr="004402D6">
              <w:t>im</w:t>
            </w:r>
            <w:r w:rsidRPr="004402D6">
              <w:t xml:space="preserve"> Administrativ </w:t>
            </w:r>
            <w:r w:rsidR="00654391" w:rsidRPr="004402D6">
              <w:t xml:space="preserve">po ashtu </w:t>
            </w:r>
            <w:r w:rsidRPr="004402D6">
              <w:t xml:space="preserve">ka për qëllim </w:t>
            </w:r>
            <w:r w:rsidR="00654391" w:rsidRPr="004402D6">
              <w:t xml:space="preserve">orientimin dhe përcaktimin e </w:t>
            </w:r>
            <w:r w:rsidRPr="004402D6">
              <w:t xml:space="preserve">politikave, </w:t>
            </w:r>
            <w:r w:rsidRPr="004402D6">
              <w:lastRenderedPageBreak/>
              <w:t>strategjive dhe procedurave tjera për menaxhimin e rreziqeve relevante të Qeverisë së Kosovës dhe institucione</w:t>
            </w:r>
            <w:r w:rsidR="00654391" w:rsidRPr="004402D6">
              <w:t>ve tjera</w:t>
            </w:r>
            <w:r w:rsidRPr="004402D6">
              <w:t xml:space="preserve"> relevante në Kosovë</w:t>
            </w:r>
            <w:r w:rsidR="00654391" w:rsidRPr="004402D6">
              <w:t>, që</w:t>
            </w:r>
            <w:r w:rsidRPr="004402D6">
              <w:t>t</w:t>
            </w:r>
            <w:r w:rsidR="00654391" w:rsidRPr="004402D6">
              <w:t>'</w:t>
            </w:r>
            <w:r w:rsidRPr="004402D6">
              <w:t>i udhëzoj ata në drejtimin dhe kontrollimin e aktiviteteve të tyre për parandalimin e pastrimit të parave, financimin</w:t>
            </w:r>
            <w:r w:rsidR="00F82955" w:rsidRPr="004402D6">
              <w:t xml:space="preserve"> </w:t>
            </w:r>
            <w:r w:rsidR="005F3C47" w:rsidRPr="004402D6">
              <w:t>e</w:t>
            </w:r>
            <w:r w:rsidR="00F82955" w:rsidRPr="004402D6">
              <w:t xml:space="preserve"> </w:t>
            </w:r>
            <w:r w:rsidR="005F3C47" w:rsidRPr="004402D6">
              <w:t>terrorizmit dhe ekonomisë joformale.</w:t>
            </w:r>
            <w:r w:rsidR="001432C9" w:rsidRPr="004402D6">
              <w:t xml:space="preserve"> Sa i përket vlerësimeve të ndara të rreziqeve sektoriale bazuar në qasjen në bazë të rrezikut në kuadër të sektorëve kjo do ta elaborohet në dokumente dhe akte tjera nënligjore</w:t>
            </w:r>
            <w:r w:rsidR="004402D6">
              <w:t>.</w:t>
            </w:r>
          </w:p>
          <w:p w:rsidR="006665D4" w:rsidRDefault="006665D4" w:rsidP="004402D6">
            <w:pPr>
              <w:jc w:val="both"/>
              <w:rPr>
                <w:lang w:val="en-GB"/>
              </w:rPr>
            </w:pPr>
          </w:p>
          <w:p w:rsidR="004402D6" w:rsidRPr="004402D6" w:rsidRDefault="004402D6" w:rsidP="004402D6">
            <w:pPr>
              <w:jc w:val="both"/>
            </w:pPr>
          </w:p>
          <w:p w:rsidR="005F3C47" w:rsidRPr="004402D6" w:rsidRDefault="001C4C11" w:rsidP="005F3C47">
            <w:pPr>
              <w:jc w:val="center"/>
              <w:rPr>
                <w:b/>
              </w:rPr>
            </w:pPr>
            <w:r w:rsidRPr="004402D6">
              <w:rPr>
                <w:b/>
              </w:rPr>
              <w:t>Neni 2</w:t>
            </w:r>
          </w:p>
          <w:p w:rsidR="007B7911" w:rsidRPr="004402D6" w:rsidRDefault="007B7911" w:rsidP="004402D6">
            <w:pPr>
              <w:jc w:val="center"/>
              <w:rPr>
                <w:b/>
              </w:rPr>
            </w:pPr>
            <w:r w:rsidRPr="004402D6">
              <w:rPr>
                <w:b/>
              </w:rPr>
              <w:t>Fusheveprimi</w:t>
            </w:r>
          </w:p>
          <w:p w:rsidR="007B7911" w:rsidRPr="004402D6" w:rsidRDefault="007B7911" w:rsidP="004402D6">
            <w:pPr>
              <w:keepNext/>
              <w:keepLines/>
              <w:spacing w:before="480"/>
              <w:jc w:val="both"/>
              <w:outlineLvl w:val="0"/>
              <w:rPr>
                <w:lang w:val="en-GB"/>
              </w:rPr>
            </w:pPr>
            <w:proofErr w:type="spellStart"/>
            <w:r w:rsidRPr="004402D6">
              <w:rPr>
                <w:lang w:val="en-GB"/>
              </w:rPr>
              <w:t>Dispozitat</w:t>
            </w:r>
            <w:proofErr w:type="spellEnd"/>
            <w:r w:rsidRPr="004402D6">
              <w:rPr>
                <w:lang w:val="en-GB"/>
              </w:rPr>
              <w:t xml:space="preserve"> e </w:t>
            </w:r>
            <w:proofErr w:type="spellStart"/>
            <w:r w:rsidRPr="004402D6">
              <w:rPr>
                <w:lang w:val="en-GB"/>
              </w:rPr>
              <w:t>ketij</w:t>
            </w:r>
            <w:proofErr w:type="spellEnd"/>
            <w:r w:rsidRPr="004402D6">
              <w:rPr>
                <w:lang w:val="en-GB"/>
              </w:rPr>
              <w:t xml:space="preserve"> </w:t>
            </w:r>
            <w:proofErr w:type="spellStart"/>
            <w:r w:rsidRPr="004402D6">
              <w:rPr>
                <w:lang w:val="en-GB"/>
              </w:rPr>
              <w:t>Udhezimi</w:t>
            </w:r>
            <w:proofErr w:type="spellEnd"/>
            <w:r w:rsidRPr="004402D6">
              <w:rPr>
                <w:lang w:val="en-GB"/>
              </w:rPr>
              <w:t xml:space="preserve"> </w:t>
            </w:r>
            <w:proofErr w:type="spellStart"/>
            <w:r w:rsidRPr="004402D6">
              <w:rPr>
                <w:lang w:val="en-GB"/>
              </w:rPr>
              <w:t>zbatohen</w:t>
            </w:r>
            <w:proofErr w:type="spellEnd"/>
            <w:r w:rsidRPr="004402D6">
              <w:rPr>
                <w:lang w:val="en-GB"/>
              </w:rPr>
              <w:t xml:space="preserve"> </w:t>
            </w:r>
            <w:proofErr w:type="spellStart"/>
            <w:r w:rsidRPr="004402D6">
              <w:rPr>
                <w:lang w:val="en-GB"/>
              </w:rPr>
              <w:t>nga</w:t>
            </w:r>
            <w:proofErr w:type="spellEnd"/>
            <w:r w:rsidRPr="004402D6">
              <w:rPr>
                <w:lang w:val="en-GB"/>
              </w:rPr>
              <w:t xml:space="preserve"> </w:t>
            </w:r>
            <w:proofErr w:type="spellStart"/>
            <w:r w:rsidRPr="004402D6">
              <w:rPr>
                <w:lang w:val="en-GB"/>
              </w:rPr>
              <w:t>te</w:t>
            </w:r>
            <w:proofErr w:type="spellEnd"/>
            <w:r w:rsidRPr="004402D6">
              <w:rPr>
                <w:lang w:val="en-GB"/>
              </w:rPr>
              <w:t xml:space="preserve"> </w:t>
            </w:r>
            <w:proofErr w:type="spellStart"/>
            <w:r w:rsidRPr="004402D6">
              <w:rPr>
                <w:lang w:val="en-GB"/>
              </w:rPr>
              <w:t>gjitha</w:t>
            </w:r>
            <w:proofErr w:type="spellEnd"/>
            <w:r w:rsidRPr="004402D6">
              <w:rPr>
                <w:lang w:val="en-GB"/>
              </w:rPr>
              <w:t xml:space="preserve"> </w:t>
            </w:r>
            <w:proofErr w:type="spellStart"/>
            <w:r w:rsidRPr="004402D6">
              <w:rPr>
                <w:lang w:val="en-GB"/>
              </w:rPr>
              <w:t>Institucionet</w:t>
            </w:r>
            <w:proofErr w:type="spellEnd"/>
            <w:r w:rsidRPr="004402D6">
              <w:rPr>
                <w:lang w:val="en-GB"/>
              </w:rPr>
              <w:t xml:space="preserve"> </w:t>
            </w:r>
            <w:proofErr w:type="spellStart"/>
            <w:r w:rsidRPr="004402D6">
              <w:rPr>
                <w:lang w:val="en-GB"/>
              </w:rPr>
              <w:t>publike</w:t>
            </w:r>
            <w:proofErr w:type="spellEnd"/>
            <w:r w:rsidRPr="004402D6">
              <w:rPr>
                <w:lang w:val="en-GB"/>
              </w:rPr>
              <w:t xml:space="preserve"> </w:t>
            </w:r>
            <w:proofErr w:type="spellStart"/>
            <w:r w:rsidRPr="004402D6">
              <w:rPr>
                <w:lang w:val="en-GB"/>
              </w:rPr>
              <w:t>dhe</w:t>
            </w:r>
            <w:proofErr w:type="spellEnd"/>
            <w:r w:rsidRPr="004402D6">
              <w:rPr>
                <w:lang w:val="en-GB"/>
              </w:rPr>
              <w:t xml:space="preserve"> </w:t>
            </w:r>
            <w:proofErr w:type="spellStart"/>
            <w:r w:rsidRPr="004402D6">
              <w:rPr>
                <w:lang w:val="en-GB"/>
              </w:rPr>
              <w:t>institucionet</w:t>
            </w:r>
            <w:proofErr w:type="spellEnd"/>
            <w:r w:rsidRPr="004402D6">
              <w:rPr>
                <w:lang w:val="en-GB"/>
              </w:rPr>
              <w:t xml:space="preserve"> </w:t>
            </w:r>
            <w:proofErr w:type="spellStart"/>
            <w:r w:rsidRPr="004402D6">
              <w:rPr>
                <w:lang w:val="en-GB"/>
              </w:rPr>
              <w:t>të</w:t>
            </w:r>
            <w:proofErr w:type="spellEnd"/>
            <w:r w:rsidRPr="004402D6">
              <w:rPr>
                <w:lang w:val="en-GB"/>
              </w:rPr>
              <w:t xml:space="preserve"> </w:t>
            </w:r>
            <w:proofErr w:type="spellStart"/>
            <w:r w:rsidRPr="004402D6">
              <w:rPr>
                <w:lang w:val="en-GB"/>
              </w:rPr>
              <w:t>percaktuara</w:t>
            </w:r>
            <w:proofErr w:type="spellEnd"/>
            <w:r w:rsidRPr="004402D6">
              <w:rPr>
                <w:lang w:val="en-GB"/>
              </w:rPr>
              <w:t xml:space="preserve"> </w:t>
            </w:r>
            <w:proofErr w:type="spellStart"/>
            <w:r w:rsidRPr="004402D6">
              <w:rPr>
                <w:lang w:val="en-GB"/>
              </w:rPr>
              <w:t>si</w:t>
            </w:r>
            <w:proofErr w:type="spellEnd"/>
            <w:r w:rsidRPr="004402D6">
              <w:rPr>
                <w:lang w:val="en-GB"/>
              </w:rPr>
              <w:t xml:space="preserve"> </w:t>
            </w:r>
            <w:proofErr w:type="spellStart"/>
            <w:r w:rsidRPr="004402D6">
              <w:rPr>
                <w:lang w:val="en-GB"/>
              </w:rPr>
              <w:t>Subjektet</w:t>
            </w:r>
            <w:proofErr w:type="spellEnd"/>
            <w:r w:rsidRPr="004402D6">
              <w:rPr>
                <w:lang w:val="en-GB"/>
              </w:rPr>
              <w:t xml:space="preserve"> </w:t>
            </w:r>
            <w:proofErr w:type="spellStart"/>
            <w:r w:rsidRPr="004402D6">
              <w:rPr>
                <w:lang w:val="en-GB"/>
              </w:rPr>
              <w:t>Raportuese</w:t>
            </w:r>
            <w:proofErr w:type="spellEnd"/>
            <w:r w:rsidRPr="004402D6">
              <w:rPr>
                <w:lang w:val="en-GB"/>
              </w:rPr>
              <w:t xml:space="preserve"> </w:t>
            </w:r>
            <w:proofErr w:type="spellStart"/>
            <w:proofErr w:type="gramStart"/>
            <w:r w:rsidRPr="004402D6">
              <w:rPr>
                <w:lang w:val="en-GB"/>
              </w:rPr>
              <w:t>sipas</w:t>
            </w:r>
            <w:proofErr w:type="spellEnd"/>
            <w:r w:rsidRPr="004402D6">
              <w:rPr>
                <w:lang w:val="en-GB"/>
              </w:rPr>
              <w:t xml:space="preserve">  </w:t>
            </w:r>
            <w:r w:rsidRPr="004402D6">
              <w:t>Ligjit</w:t>
            </w:r>
            <w:proofErr w:type="gramEnd"/>
            <w:r w:rsidRPr="004402D6">
              <w:t xml:space="preserve"> Nr. 05/L-096 për Parandalimin e Pastrimit të Parave dhe Luftimin e Financimit të Terrorizmit</w:t>
            </w:r>
            <w:r w:rsidRPr="004402D6">
              <w:rPr>
                <w:lang w:val="en-GB"/>
              </w:rPr>
              <w:t xml:space="preserve">, me </w:t>
            </w:r>
            <w:proofErr w:type="spellStart"/>
            <w:r w:rsidRPr="004402D6">
              <w:rPr>
                <w:lang w:val="en-GB"/>
              </w:rPr>
              <w:t>qellim</w:t>
            </w:r>
            <w:proofErr w:type="spellEnd"/>
            <w:r w:rsidRPr="004402D6">
              <w:rPr>
                <w:lang w:val="en-GB"/>
              </w:rPr>
              <w:t xml:space="preserve"> </w:t>
            </w:r>
            <w:proofErr w:type="spellStart"/>
            <w:r w:rsidRPr="004402D6">
              <w:rPr>
                <w:lang w:val="en-GB"/>
              </w:rPr>
              <w:t>qe</w:t>
            </w:r>
            <w:proofErr w:type="spellEnd"/>
            <w:r w:rsidRPr="004402D6">
              <w:rPr>
                <w:lang w:val="en-GB"/>
              </w:rPr>
              <w:t xml:space="preserve">  </w:t>
            </w:r>
            <w:proofErr w:type="spellStart"/>
            <w:r w:rsidRPr="004402D6">
              <w:rPr>
                <w:lang w:val="en-GB"/>
              </w:rPr>
              <w:t>keto</w:t>
            </w:r>
            <w:proofErr w:type="spellEnd"/>
            <w:r w:rsidRPr="004402D6">
              <w:rPr>
                <w:lang w:val="en-GB"/>
              </w:rPr>
              <w:t xml:space="preserve"> </w:t>
            </w:r>
            <w:proofErr w:type="spellStart"/>
            <w:r w:rsidRPr="004402D6">
              <w:rPr>
                <w:lang w:val="en-GB"/>
              </w:rPr>
              <w:t>te</w:t>
            </w:r>
            <w:proofErr w:type="spellEnd"/>
            <w:r w:rsidRPr="004402D6">
              <w:rPr>
                <w:lang w:val="en-GB"/>
              </w:rPr>
              <w:t xml:space="preserve"> </w:t>
            </w:r>
            <w:proofErr w:type="spellStart"/>
            <w:r w:rsidRPr="004402D6">
              <w:rPr>
                <w:lang w:val="en-GB"/>
              </w:rPr>
              <w:t>fundit</w:t>
            </w:r>
            <w:proofErr w:type="spellEnd"/>
            <w:r w:rsidRPr="004402D6">
              <w:rPr>
                <w:lang w:val="en-GB"/>
              </w:rPr>
              <w:t xml:space="preserve"> </w:t>
            </w:r>
            <w:proofErr w:type="spellStart"/>
            <w:r w:rsidRPr="004402D6">
              <w:rPr>
                <w:lang w:val="en-GB"/>
              </w:rPr>
              <w:t>t”i</w:t>
            </w:r>
            <w:proofErr w:type="spellEnd"/>
            <w:r w:rsidRPr="004402D6">
              <w:rPr>
                <w:lang w:val="en-GB"/>
              </w:rPr>
              <w:t xml:space="preserve"> </w:t>
            </w:r>
            <w:proofErr w:type="spellStart"/>
            <w:r w:rsidRPr="004402D6">
              <w:rPr>
                <w:lang w:val="en-GB"/>
              </w:rPr>
              <w:t>ndihmoj</w:t>
            </w:r>
            <w:proofErr w:type="spellEnd"/>
            <w:r w:rsidRPr="004402D6">
              <w:rPr>
                <w:lang w:val="en-GB"/>
              </w:rPr>
              <w:t xml:space="preserve"> </w:t>
            </w:r>
            <w:r w:rsidRPr="004402D6">
              <w:t>në dizajnin dhe implementimin e qasjes në bazë të rrezikut për obligimet/funksionet e pajtueshmërisë ndaj PPP/LFT-së.</w:t>
            </w:r>
          </w:p>
          <w:p w:rsidR="00EA5F13" w:rsidRPr="004402D6" w:rsidRDefault="00EA5F13" w:rsidP="00352C59">
            <w:pPr>
              <w:jc w:val="center"/>
              <w:rPr>
                <w:lang w:val="en-GB"/>
              </w:rPr>
            </w:pPr>
          </w:p>
          <w:p w:rsidR="001432C9" w:rsidRPr="004402D6" w:rsidRDefault="001432C9" w:rsidP="001432C9">
            <w:pPr>
              <w:jc w:val="center"/>
              <w:rPr>
                <w:b/>
              </w:rPr>
            </w:pPr>
            <w:r w:rsidRPr="004402D6">
              <w:rPr>
                <w:b/>
              </w:rPr>
              <w:t>Neni 3</w:t>
            </w:r>
          </w:p>
          <w:p w:rsidR="001432C9" w:rsidRPr="004402D6" w:rsidRDefault="001432C9" w:rsidP="001432C9">
            <w:pPr>
              <w:jc w:val="center"/>
              <w:rPr>
                <w:b/>
              </w:rPr>
            </w:pPr>
            <w:r w:rsidRPr="004402D6">
              <w:rPr>
                <w:b/>
              </w:rPr>
              <w:t xml:space="preserve">Përkufizimet </w:t>
            </w:r>
          </w:p>
          <w:p w:rsidR="001432C9" w:rsidRPr="004402D6" w:rsidRDefault="001432C9" w:rsidP="001432C9">
            <w:pPr>
              <w:jc w:val="both"/>
            </w:pPr>
          </w:p>
          <w:p w:rsidR="008A2BD9" w:rsidRDefault="001432C9" w:rsidP="004402D6">
            <w:pPr>
              <w:jc w:val="both"/>
              <w:rPr>
                <w:lang w:val="en-GB"/>
              </w:rPr>
            </w:pPr>
            <w:r w:rsidRPr="004402D6">
              <w:t>1. Për qëllime të këtij udhëzimi administrativ përkufizimet e mëposhtme kanë kete  kuptim:</w:t>
            </w:r>
          </w:p>
          <w:p w:rsidR="004402D6" w:rsidRPr="004402D6" w:rsidRDefault="004402D6" w:rsidP="004402D6">
            <w:pPr>
              <w:jc w:val="both"/>
              <w:rPr>
                <w:lang w:val="en-GB"/>
              </w:rPr>
            </w:pPr>
          </w:p>
          <w:p w:rsidR="004D4872" w:rsidRPr="004402D6" w:rsidRDefault="001C4C11" w:rsidP="00352C59">
            <w:pPr>
              <w:ind w:left="288"/>
              <w:jc w:val="both"/>
            </w:pPr>
            <w:r w:rsidRPr="004402D6">
              <w:lastRenderedPageBreak/>
              <w:t xml:space="preserve">1.1 </w:t>
            </w:r>
            <w:r w:rsidRPr="004402D6">
              <w:rPr>
                <w:b/>
              </w:rPr>
              <w:t>Vlerësim</w:t>
            </w:r>
            <w:r w:rsidR="008A2BD9" w:rsidRPr="004402D6">
              <w:rPr>
                <w:b/>
              </w:rPr>
              <w:t>i</w:t>
            </w:r>
            <w:r w:rsidRPr="004402D6">
              <w:rPr>
                <w:b/>
              </w:rPr>
              <w:t xml:space="preserve"> i Rrezikut</w:t>
            </w:r>
            <w:r w:rsidR="008A2BD9" w:rsidRPr="004402D6">
              <w:rPr>
                <w:b/>
              </w:rPr>
              <w:t xml:space="preserve"> </w:t>
            </w:r>
            <w:r w:rsidRPr="004402D6">
              <w:t>është proces i përgjithshëm i identifikimit, analizës dhe vlerësimit të rreziqeve dhe dobësive</w:t>
            </w:r>
            <w:r w:rsidR="001432C9" w:rsidRPr="004402D6">
              <w:t>;</w:t>
            </w:r>
          </w:p>
          <w:p w:rsidR="001432C9" w:rsidRPr="004402D6" w:rsidRDefault="001432C9" w:rsidP="00352C59">
            <w:pPr>
              <w:ind w:left="288"/>
              <w:jc w:val="both"/>
            </w:pPr>
          </w:p>
          <w:p w:rsidR="004D4872" w:rsidRPr="004402D6" w:rsidRDefault="001C4C11" w:rsidP="00352C59">
            <w:pPr>
              <w:ind w:left="288"/>
              <w:jc w:val="both"/>
            </w:pPr>
            <w:r w:rsidRPr="004402D6">
              <w:t xml:space="preserve">1.2 </w:t>
            </w:r>
            <w:r w:rsidRPr="004402D6">
              <w:rPr>
                <w:b/>
              </w:rPr>
              <w:t>Menaxhimi i Rrezikut</w:t>
            </w:r>
            <w:r w:rsidRPr="004402D6">
              <w:t xml:space="preserve"> </w:t>
            </w:r>
            <w:r w:rsidR="008A2BD9" w:rsidRPr="004402D6">
              <w:t xml:space="preserve">përfshinë </w:t>
            </w:r>
            <w:r w:rsidRPr="004402D6">
              <w:t>politikat, strategjitë dhe aktivitetet tjera të koordinuara që lidhen me rrezikun,</w:t>
            </w:r>
            <w:r w:rsidR="008A2BD9" w:rsidRPr="004402D6">
              <w:t xml:space="preserve"> me qëllim të drejtimit dhe kontrollimit të</w:t>
            </w:r>
            <w:r w:rsidRPr="004402D6">
              <w:t xml:space="preserve"> organizatë</w:t>
            </w:r>
            <w:r w:rsidR="008A2BD9" w:rsidRPr="004402D6">
              <w:t>s</w:t>
            </w:r>
            <w:r w:rsidR="001432C9" w:rsidRPr="004402D6">
              <w:t>;</w:t>
            </w:r>
          </w:p>
          <w:p w:rsidR="001432C9" w:rsidRPr="004402D6" w:rsidRDefault="001432C9" w:rsidP="00352C59">
            <w:pPr>
              <w:ind w:left="288"/>
              <w:jc w:val="both"/>
            </w:pPr>
          </w:p>
          <w:p w:rsidR="004D4872" w:rsidRPr="004402D6" w:rsidRDefault="001C4C11" w:rsidP="00352C59">
            <w:pPr>
              <w:ind w:left="288"/>
              <w:jc w:val="both"/>
            </w:pPr>
            <w:r w:rsidRPr="004402D6">
              <w:t xml:space="preserve">1.3 </w:t>
            </w:r>
            <w:r w:rsidRPr="004402D6">
              <w:rPr>
                <w:b/>
              </w:rPr>
              <w:t>Pastrimi i Parave</w:t>
            </w:r>
            <w:r w:rsidR="008A2BD9" w:rsidRPr="004402D6">
              <w:t xml:space="preserve"> </w:t>
            </w:r>
            <w:r w:rsidRPr="004402D6">
              <w:t xml:space="preserve">nënkupton veprën e përcaktuar </w:t>
            </w:r>
            <w:r w:rsidR="008A2BD9" w:rsidRPr="004402D6">
              <w:t xml:space="preserve">penale sipas nenit 56 të </w:t>
            </w:r>
            <w:r w:rsidRPr="004402D6">
              <w:t>Ligji</w:t>
            </w:r>
            <w:r w:rsidR="008A2BD9" w:rsidRPr="004402D6">
              <w:t>t</w:t>
            </w:r>
            <w:r w:rsidRPr="004402D6">
              <w:t xml:space="preserve"> </w:t>
            </w:r>
            <w:r w:rsidR="008A2BD9" w:rsidRPr="004402D6">
              <w:t>të</w:t>
            </w:r>
            <w:r w:rsidRPr="004402D6">
              <w:t xml:space="preserve"> Kosovës Nr. 05/L-096 për Parandalimin e Pastrimit të Parave dhe Luftimin e Financimit të Terrorizmit</w:t>
            </w:r>
            <w:r w:rsidR="008A2BD9" w:rsidRPr="004402D6">
              <w:t>.</w:t>
            </w:r>
            <w:r w:rsidR="001432C9" w:rsidRPr="004402D6">
              <w:t>;</w:t>
            </w:r>
          </w:p>
          <w:p w:rsidR="001432C9" w:rsidRPr="004402D6" w:rsidRDefault="001432C9" w:rsidP="004402D6">
            <w:pPr>
              <w:ind w:left="288"/>
              <w:jc w:val="both"/>
            </w:pPr>
          </w:p>
          <w:p w:rsidR="004D4872" w:rsidRPr="004402D6" w:rsidRDefault="005F3C47" w:rsidP="004402D6">
            <w:pPr>
              <w:ind w:left="288"/>
              <w:jc w:val="both"/>
            </w:pPr>
            <w:r w:rsidRPr="004402D6">
              <w:t xml:space="preserve">1.4 </w:t>
            </w:r>
            <w:r w:rsidRPr="004402D6">
              <w:rPr>
                <w:b/>
              </w:rPr>
              <w:t>Financimi i Terrorizmit</w:t>
            </w:r>
            <w:r w:rsidRPr="004402D6">
              <w:t xml:space="preserve"> nënkupton veprën e përcaktuar </w:t>
            </w:r>
            <w:r w:rsidR="008A2BD9" w:rsidRPr="004402D6">
              <w:t>penale sipas nenit 57 të</w:t>
            </w:r>
            <w:r w:rsidRPr="004402D6">
              <w:t xml:space="preserve"> Ligji</w:t>
            </w:r>
            <w:r w:rsidR="008A2BD9" w:rsidRPr="004402D6">
              <w:t>t</w:t>
            </w:r>
            <w:r w:rsidRPr="004402D6">
              <w:t xml:space="preserve"> </w:t>
            </w:r>
            <w:r w:rsidR="008A2BD9" w:rsidRPr="004402D6">
              <w:t>të</w:t>
            </w:r>
            <w:r w:rsidRPr="004402D6">
              <w:t xml:space="preserve"> Kosovës Nr. 05/L-096 për Parandalimin e Pastrimit të Parave dhe Luftimin e Financimit të Terrorizmit</w:t>
            </w:r>
            <w:r w:rsidR="001432C9" w:rsidRPr="004402D6">
              <w:t>;</w:t>
            </w:r>
          </w:p>
          <w:p w:rsidR="001432C9" w:rsidRPr="004402D6" w:rsidRDefault="001432C9" w:rsidP="004402D6">
            <w:pPr>
              <w:ind w:left="288"/>
              <w:jc w:val="both"/>
            </w:pPr>
          </w:p>
          <w:p w:rsidR="005F3C47" w:rsidRPr="004402D6" w:rsidRDefault="001C4C11" w:rsidP="004402D6">
            <w:pPr>
              <w:keepNext/>
              <w:keepLines/>
              <w:ind w:left="288"/>
              <w:jc w:val="both"/>
              <w:outlineLvl w:val="2"/>
              <w:rPr>
                <w:lang w:val="en-GB"/>
              </w:rPr>
            </w:pPr>
            <w:r w:rsidRPr="004402D6">
              <w:t xml:space="preserve">1.5 </w:t>
            </w:r>
            <w:r w:rsidRPr="004402D6">
              <w:rPr>
                <w:b/>
              </w:rPr>
              <w:t>Ekonomia Joformale</w:t>
            </w:r>
            <w:r w:rsidRPr="004402D6">
              <w:t xml:space="preserve"> përbëhet nga ekonomia </w:t>
            </w:r>
            <w:r w:rsidR="004A3643" w:rsidRPr="004402D6">
              <w:t xml:space="preserve">e hirët </w:t>
            </w:r>
            <w:r w:rsidRPr="004402D6">
              <w:t xml:space="preserve">dhe e zezë. Ekonomia e </w:t>
            </w:r>
            <w:r w:rsidR="004A3643" w:rsidRPr="004402D6">
              <w:t xml:space="preserve">hirët </w:t>
            </w:r>
            <w:r w:rsidRPr="004402D6">
              <w:t>përfshinë aktivitete legjitime të cilat fshihen qëllimshëm për t’iu</w:t>
            </w:r>
            <w:r w:rsidR="00F82955" w:rsidRPr="004402D6">
              <w:t xml:space="preserve"> </w:t>
            </w:r>
            <w:r w:rsidR="005F3C47" w:rsidRPr="004402D6">
              <w:t>shmangur</w:t>
            </w:r>
            <w:r w:rsidR="00F82955" w:rsidRPr="004402D6">
              <w:t xml:space="preserve"> </w:t>
            </w:r>
            <w:r w:rsidR="005F3C47" w:rsidRPr="004402D6">
              <w:t>tatimit, pajtueshmërisë me rregulloret dhe/ose kontributeve për sigurim social si dhe përfitim nga mashtrimi me tatime dhe kontrabanda e të mirave legjitime, kurse ekonomia e zezë përfshinë fitimet dhe benificionet nga aktiviteti kriminal.</w:t>
            </w:r>
          </w:p>
          <w:p w:rsidR="004402D6" w:rsidRDefault="004402D6" w:rsidP="005F3C47">
            <w:pPr>
              <w:jc w:val="center"/>
              <w:rPr>
                <w:b/>
              </w:rPr>
            </w:pPr>
          </w:p>
          <w:p w:rsidR="004402D6" w:rsidRDefault="004402D6" w:rsidP="005F3C47">
            <w:pPr>
              <w:jc w:val="center"/>
              <w:rPr>
                <w:b/>
              </w:rPr>
            </w:pPr>
          </w:p>
          <w:p w:rsidR="004402D6" w:rsidRDefault="004402D6" w:rsidP="005F3C47">
            <w:pPr>
              <w:jc w:val="center"/>
              <w:rPr>
                <w:b/>
              </w:rPr>
            </w:pPr>
          </w:p>
          <w:p w:rsidR="004402D6" w:rsidRDefault="004402D6" w:rsidP="004402D6">
            <w:pPr>
              <w:rPr>
                <w:b/>
              </w:rPr>
            </w:pPr>
          </w:p>
          <w:p w:rsidR="004402D6" w:rsidRDefault="004402D6" w:rsidP="005F3C47">
            <w:pPr>
              <w:jc w:val="center"/>
              <w:rPr>
                <w:b/>
              </w:rPr>
            </w:pPr>
            <w:r>
              <w:rPr>
                <w:b/>
              </w:rPr>
              <w:lastRenderedPageBreak/>
              <w:t>Neni 4</w:t>
            </w:r>
          </w:p>
          <w:p w:rsidR="008E5BD0" w:rsidRDefault="001C4C11" w:rsidP="005F3C47">
            <w:pPr>
              <w:jc w:val="center"/>
              <w:rPr>
                <w:b/>
              </w:rPr>
            </w:pPr>
            <w:r w:rsidRPr="004402D6">
              <w:rPr>
                <w:b/>
              </w:rPr>
              <w:t>Organizimi i Procesit të</w:t>
            </w:r>
            <w:r w:rsidR="00103957" w:rsidRPr="004402D6">
              <w:rPr>
                <w:b/>
              </w:rPr>
              <w:t xml:space="preserve"> </w:t>
            </w:r>
            <w:r w:rsidRPr="004402D6">
              <w:rPr>
                <w:b/>
              </w:rPr>
              <w:t>Vlerësimit të Rrezikut</w:t>
            </w:r>
            <w:r w:rsidR="004A3643" w:rsidRPr="004402D6">
              <w:rPr>
                <w:b/>
              </w:rPr>
              <w:t xml:space="preserve"> Kombëta</w:t>
            </w:r>
            <w:r w:rsidR="008E5BD0" w:rsidRPr="004402D6">
              <w:rPr>
                <w:b/>
              </w:rPr>
              <w:t>r</w:t>
            </w:r>
          </w:p>
          <w:p w:rsidR="004402D6" w:rsidRPr="004402D6" w:rsidRDefault="004402D6" w:rsidP="005F3C47">
            <w:pPr>
              <w:jc w:val="center"/>
            </w:pPr>
          </w:p>
          <w:p w:rsidR="005F3C47" w:rsidRPr="004402D6" w:rsidRDefault="008E5BD0" w:rsidP="00352C59">
            <w:pPr>
              <w:jc w:val="both"/>
            </w:pPr>
            <w:r w:rsidRPr="004402D6">
              <w:t xml:space="preserve">1. </w:t>
            </w:r>
            <w:r w:rsidR="001C4C11" w:rsidRPr="004402D6">
              <w:t>Ministria e Financave vendos</w:t>
            </w:r>
            <w:r w:rsidR="002D7776" w:rsidRPr="004402D6">
              <w:t xml:space="preserve"> lidhur </w:t>
            </w:r>
            <w:r w:rsidRPr="004402D6">
              <w:t xml:space="preserve">me </w:t>
            </w:r>
            <w:r w:rsidR="002D7776" w:rsidRPr="004402D6">
              <w:t>inicimin e</w:t>
            </w:r>
            <w:r w:rsidR="001C4C11" w:rsidRPr="004402D6">
              <w:t xml:space="preserve"> lerësimi</w:t>
            </w:r>
            <w:r w:rsidR="002D7776" w:rsidRPr="004402D6">
              <w:t>t</w:t>
            </w:r>
            <w:r w:rsidR="004A3643" w:rsidRPr="004402D6">
              <w:t xml:space="preserve"> </w:t>
            </w:r>
            <w:r w:rsidR="002D7776" w:rsidRPr="004402D6">
              <w:t>të</w:t>
            </w:r>
            <w:r w:rsidR="001C4C11" w:rsidRPr="004402D6">
              <w:t xml:space="preserve"> </w:t>
            </w:r>
            <w:r w:rsidR="002D7776" w:rsidRPr="004402D6">
              <w:t>r</w:t>
            </w:r>
            <w:r w:rsidR="001C4C11" w:rsidRPr="004402D6">
              <w:t xml:space="preserve">rezikut kombëtar si dhe kriteret </w:t>
            </w:r>
            <w:r w:rsidR="004A3643" w:rsidRPr="004402D6">
              <w:t xml:space="preserve">sipas </w:t>
            </w:r>
            <w:r w:rsidR="001C4C11" w:rsidRPr="004402D6">
              <w:t>të cilave vlerësohen rreziqet. Ministria e Financave</w:t>
            </w:r>
            <w:r w:rsidR="001432C9" w:rsidRPr="004402D6">
              <w:t xml:space="preserve">ofron </w:t>
            </w:r>
            <w:r w:rsidR="001C4C11" w:rsidRPr="004402D6">
              <w:t>përkrahjen e niveleve të larta politike dhe resurset e nevojshme për punë.  Vlerësimi i Rrezikut</w:t>
            </w:r>
            <w:r w:rsidR="004A3643" w:rsidRPr="004402D6">
              <w:t xml:space="preserve"> </w:t>
            </w:r>
            <w:r w:rsidR="001C4C11" w:rsidRPr="004402D6">
              <w:t>Kombëtar  realizohet së paku çdo tri (3) vjet</w:t>
            </w:r>
            <w:r w:rsidR="002D7776" w:rsidRPr="004402D6">
              <w:t xml:space="preserve">, por Ministria e Financave mund të inicoj vlerësimin edhe më shpesh, po qe se konsiderohet e domosdoshme përkitazi me procesin e menaxhimit të rrezikut kombëtar. </w:t>
            </w:r>
          </w:p>
          <w:p w:rsidR="005F3C47" w:rsidRPr="00A1433A" w:rsidRDefault="005F3C47" w:rsidP="00A1433A">
            <w:pPr>
              <w:keepNext/>
              <w:keepLines/>
              <w:spacing w:before="200"/>
              <w:jc w:val="both"/>
              <w:outlineLvl w:val="2"/>
              <w:rPr>
                <w:strike/>
                <w:lang w:val="en-GB"/>
              </w:rPr>
            </w:pPr>
          </w:p>
          <w:p w:rsidR="005F3C47" w:rsidRPr="004402D6" w:rsidRDefault="008E5BD0" w:rsidP="004402D6">
            <w:pPr>
              <w:jc w:val="both"/>
            </w:pPr>
            <w:r w:rsidRPr="004402D6">
              <w:t xml:space="preserve">2. </w:t>
            </w:r>
            <w:r w:rsidR="001C4C11" w:rsidRPr="004402D6">
              <w:t>NJIF-K</w:t>
            </w:r>
            <w:r w:rsidR="00F82955" w:rsidRPr="004402D6">
              <w:t xml:space="preserve"> </w:t>
            </w:r>
            <w:r w:rsidR="001C4C11" w:rsidRPr="004402D6">
              <w:t xml:space="preserve"> koordino</w:t>
            </w:r>
            <w:r w:rsidR="001432C9" w:rsidRPr="004402D6">
              <w:t>n</w:t>
            </w:r>
            <w:r w:rsidR="001C4C11" w:rsidRPr="004402D6">
              <w:t xml:space="preserve"> </w:t>
            </w:r>
            <w:r w:rsidR="004A3643" w:rsidRPr="004402D6">
              <w:t>p</w:t>
            </w:r>
            <w:r w:rsidR="001C4C11" w:rsidRPr="004402D6">
              <w:t xml:space="preserve">rocesin e </w:t>
            </w:r>
            <w:r w:rsidR="004A3643" w:rsidRPr="004402D6">
              <w:t>v</w:t>
            </w:r>
            <w:r w:rsidR="001C4C11" w:rsidRPr="004402D6">
              <w:t xml:space="preserve">lerësimit të </w:t>
            </w:r>
            <w:r w:rsidR="004A3643" w:rsidRPr="004402D6">
              <w:t>r</w:t>
            </w:r>
            <w:r w:rsidR="001C4C11" w:rsidRPr="004402D6">
              <w:t xml:space="preserve">rezikut </w:t>
            </w:r>
            <w:r w:rsidR="004A3643" w:rsidRPr="004402D6">
              <w:t>k</w:t>
            </w:r>
            <w:r w:rsidR="001C4C11" w:rsidRPr="004402D6">
              <w:t>ombëtar</w:t>
            </w:r>
            <w:r w:rsidRPr="004402D6">
              <w:t xml:space="preserve">, dhe </w:t>
            </w:r>
            <w:r w:rsidR="004A3643" w:rsidRPr="004402D6">
              <w:t>themelo</w:t>
            </w:r>
            <w:r w:rsidR="001432C9" w:rsidRPr="004402D6">
              <w:t>n</w:t>
            </w:r>
            <w:r w:rsidR="004A3643" w:rsidRPr="004402D6">
              <w:t xml:space="preserve"> </w:t>
            </w:r>
            <w:r w:rsidR="001C4C11" w:rsidRPr="004402D6">
              <w:t xml:space="preserve">grupet punuese përfshirë përfaqësuesit e sektorit privat dhe institucionet publike për të ndihmuar në mbledhjen </w:t>
            </w:r>
            <w:r w:rsidR="00D72BB8" w:rsidRPr="004402D6">
              <w:t xml:space="preserve">kualitative dhe kuantitative </w:t>
            </w:r>
            <w:r w:rsidR="001C4C11" w:rsidRPr="004402D6">
              <w:t>të informatave të nevojshme për t</w:t>
            </w:r>
            <w:r w:rsidR="00F82955" w:rsidRPr="004402D6">
              <w:t>'</w:t>
            </w:r>
            <w:r w:rsidR="001C4C11" w:rsidRPr="004402D6">
              <w:t xml:space="preserve">i identifikuar rreziqet. </w:t>
            </w:r>
            <w:r w:rsidR="002D7776" w:rsidRPr="004402D6">
              <w:t xml:space="preserve">NjIF-K mund të ftoj institucione tjera relevante private dhe akterë të tjerë për të marrë pjesë në vlerësimin e rrezikut kombëtarë për PPP/LFT, nëse konsideron të nevojshme. </w:t>
            </w:r>
          </w:p>
          <w:p w:rsidR="005F3C47" w:rsidRDefault="001C4C11" w:rsidP="004402D6">
            <w:pPr>
              <w:jc w:val="both"/>
            </w:pPr>
            <w:r w:rsidRPr="004402D6">
              <w:t xml:space="preserve">Të gjitha institucionet publike dhe institucionet e përcaktuara si </w:t>
            </w:r>
            <w:r w:rsidR="004A3643" w:rsidRPr="004402D6">
              <w:t>s</w:t>
            </w:r>
            <w:r w:rsidRPr="004402D6">
              <w:t xml:space="preserve">ubjekte </w:t>
            </w:r>
            <w:r w:rsidR="004A3643" w:rsidRPr="004402D6">
              <w:t>r</w:t>
            </w:r>
            <w:r w:rsidRPr="004402D6">
              <w:t>aportuese në Ligjin për Parandalimin e Pastrimit</w:t>
            </w:r>
            <w:r w:rsidR="004A3643" w:rsidRPr="004402D6">
              <w:t xml:space="preserve"> </w:t>
            </w:r>
            <w:r w:rsidRPr="004402D6">
              <w:t>të Parave dhe</w:t>
            </w:r>
            <w:r w:rsidR="005C5EE7" w:rsidRPr="004402D6">
              <w:t xml:space="preserve"> </w:t>
            </w:r>
            <w:r w:rsidRPr="004402D6">
              <w:t>Financimit</w:t>
            </w:r>
            <w:r w:rsidR="004A3643" w:rsidRPr="004402D6">
              <w:t xml:space="preserve"> </w:t>
            </w:r>
            <w:r w:rsidRPr="004402D6">
              <w:t>të Terrorizmit</w:t>
            </w:r>
            <w:r w:rsidR="004A3643" w:rsidRPr="004402D6">
              <w:t xml:space="preserve"> </w:t>
            </w:r>
            <w:r w:rsidRPr="004402D6">
              <w:t>janë të obliguara që të ndihmojnë NJIF</w:t>
            </w:r>
            <w:r w:rsidR="005C5EE7" w:rsidRPr="004402D6">
              <w:t>-</w:t>
            </w:r>
            <w:r w:rsidRPr="004402D6">
              <w:t>K-në në</w:t>
            </w:r>
            <w:r w:rsidR="005C5EE7" w:rsidRPr="004402D6">
              <w:t xml:space="preserve"> </w:t>
            </w:r>
            <w:r w:rsidR="004A3643" w:rsidRPr="004402D6">
              <w:t>p</w:t>
            </w:r>
            <w:r w:rsidRPr="004402D6">
              <w:t>rocesin</w:t>
            </w:r>
            <w:r w:rsidR="004A3643" w:rsidRPr="004402D6">
              <w:t xml:space="preserve"> </w:t>
            </w:r>
            <w:r w:rsidRPr="004402D6">
              <w:t xml:space="preserve">e </w:t>
            </w:r>
            <w:r w:rsidR="004A3643" w:rsidRPr="004402D6">
              <w:t>v</w:t>
            </w:r>
            <w:r w:rsidRPr="004402D6">
              <w:t xml:space="preserve">lerësimit të </w:t>
            </w:r>
            <w:r w:rsidR="004A3643" w:rsidRPr="004402D6">
              <w:t>r</w:t>
            </w:r>
            <w:r w:rsidRPr="004402D6">
              <w:t xml:space="preserve">rezikut </w:t>
            </w:r>
          </w:p>
          <w:p w:rsidR="004402D6" w:rsidRDefault="004402D6" w:rsidP="004402D6">
            <w:pPr>
              <w:jc w:val="both"/>
            </w:pPr>
          </w:p>
          <w:p w:rsidR="00A1433A" w:rsidRDefault="00A1433A" w:rsidP="004402D6">
            <w:pPr>
              <w:jc w:val="both"/>
            </w:pPr>
          </w:p>
          <w:p w:rsidR="004402D6" w:rsidRPr="004402D6" w:rsidRDefault="004402D6" w:rsidP="004402D6">
            <w:pPr>
              <w:jc w:val="both"/>
            </w:pPr>
          </w:p>
          <w:p w:rsidR="005F3C47" w:rsidRPr="004402D6" w:rsidRDefault="001C4C11" w:rsidP="005F3C47">
            <w:pPr>
              <w:jc w:val="center"/>
              <w:rPr>
                <w:b/>
              </w:rPr>
            </w:pPr>
            <w:r w:rsidRPr="004402D6">
              <w:rPr>
                <w:b/>
              </w:rPr>
              <w:lastRenderedPageBreak/>
              <w:t>Neni 5</w:t>
            </w:r>
          </w:p>
          <w:p w:rsidR="005F3C47" w:rsidRDefault="001C4C11" w:rsidP="004402D6">
            <w:pPr>
              <w:jc w:val="center"/>
              <w:rPr>
                <w:b/>
              </w:rPr>
            </w:pPr>
            <w:r w:rsidRPr="004402D6">
              <w:rPr>
                <w:b/>
              </w:rPr>
              <w:t xml:space="preserve">Procesi i Vlerësimit </w:t>
            </w:r>
            <w:r w:rsidR="002D7776" w:rsidRPr="004402D6">
              <w:rPr>
                <w:b/>
              </w:rPr>
              <w:t xml:space="preserve">të Rrezikut </w:t>
            </w:r>
            <w:r w:rsidRPr="004402D6">
              <w:rPr>
                <w:b/>
              </w:rPr>
              <w:t>Kombëtar</w:t>
            </w:r>
            <w:r w:rsidR="00103957" w:rsidRPr="004402D6">
              <w:rPr>
                <w:b/>
              </w:rPr>
              <w:t xml:space="preserve"> </w:t>
            </w:r>
          </w:p>
          <w:p w:rsidR="00116DCE" w:rsidRPr="00116DCE" w:rsidRDefault="00116DCE" w:rsidP="004402D6">
            <w:pPr>
              <w:jc w:val="center"/>
              <w:rPr>
                <w:b/>
                <w:sz w:val="40"/>
                <w:szCs w:val="40"/>
              </w:rPr>
            </w:pPr>
          </w:p>
          <w:p w:rsidR="005F3C47" w:rsidRDefault="00116DCE" w:rsidP="00A1433A">
            <w:pPr>
              <w:jc w:val="both"/>
            </w:pPr>
            <w:r>
              <w:t xml:space="preserve">1. </w:t>
            </w:r>
            <w:r w:rsidR="001C4C11" w:rsidRPr="00116DCE">
              <w:t xml:space="preserve">Procesi </w:t>
            </w:r>
            <w:r w:rsidR="00AD6A4D" w:rsidRPr="00116DCE">
              <w:t xml:space="preserve">për vlerësimin e rrezikut për PP/FT </w:t>
            </w:r>
            <w:r w:rsidR="001C4C11" w:rsidRPr="00116DCE">
              <w:t>bazohet në</w:t>
            </w:r>
            <w:r w:rsidR="00AD6A4D" w:rsidRPr="00116DCE">
              <w:t xml:space="preserve"> Ligjin për PPP/LFT, praktikat më të mira dhe </w:t>
            </w:r>
            <w:r w:rsidR="001C4C11" w:rsidRPr="00116DCE">
              <w:t xml:space="preserve">udhëzimet e FATF-së dhe standardet tjera ndërkombëtare. </w:t>
            </w:r>
            <w:r w:rsidR="00AD6A4D" w:rsidRPr="00116DCE">
              <w:t xml:space="preserve">Ky vlerësimin </w:t>
            </w:r>
            <w:r w:rsidR="00E6393B" w:rsidRPr="00116DCE">
              <w:t>i</w:t>
            </w:r>
            <w:r w:rsidR="00AD6A4D" w:rsidRPr="00116DCE">
              <w:t xml:space="preserve"> rrezikut</w:t>
            </w:r>
            <w:r w:rsidR="00E6393B" w:rsidRPr="00116DCE">
              <w:t xml:space="preserve"> </w:t>
            </w:r>
            <w:r w:rsidR="001C4C11" w:rsidRPr="00116DCE">
              <w:t>përbëhet nga fazat vijuese</w:t>
            </w:r>
            <w:r w:rsidR="00E6393B" w:rsidRPr="00116DCE">
              <w:t>, por duke mos u kufizuar vetë</w:t>
            </w:r>
            <w:r w:rsidR="008E5BD0" w:rsidRPr="00116DCE">
              <w:t>m</w:t>
            </w:r>
            <w:r w:rsidR="00E6393B" w:rsidRPr="00116DCE">
              <w:t xml:space="preserve"> në këto</w:t>
            </w:r>
            <w:r w:rsidR="001C4C11" w:rsidRPr="00116DCE">
              <w:t xml:space="preserve">: </w:t>
            </w:r>
          </w:p>
          <w:p w:rsidR="00A1433A" w:rsidRPr="00A1433A" w:rsidRDefault="00A1433A" w:rsidP="00A1433A">
            <w:pPr>
              <w:jc w:val="both"/>
            </w:pPr>
          </w:p>
          <w:p w:rsidR="005F3C47" w:rsidRPr="00116DCE" w:rsidRDefault="00116DCE" w:rsidP="00116DCE">
            <w:pPr>
              <w:ind w:left="288"/>
              <w:jc w:val="both"/>
            </w:pPr>
            <w:r>
              <w:t xml:space="preserve">1.1. </w:t>
            </w:r>
            <w:r w:rsidR="001C4C11" w:rsidRPr="00116DCE">
              <w:t>Faza e përcaktimit</w:t>
            </w:r>
            <w:r w:rsidR="00E6393B" w:rsidRPr="00116DCE">
              <w:t xml:space="preserve"> -</w:t>
            </w:r>
            <w:r w:rsidR="001C4C11" w:rsidRPr="00116DCE">
              <w:t xml:space="preserve"> përfshinë identifikimin e institucioneve publike, private dhe të sektorit të tretë të cilat duhet të përfshihen në </w:t>
            </w:r>
            <w:r w:rsidR="00DE5303" w:rsidRPr="00116DCE">
              <w:t xml:space="preserve">procesin </w:t>
            </w:r>
            <w:r w:rsidR="001C4C11" w:rsidRPr="00116DCE">
              <w:t>e Vlerësimit</w:t>
            </w:r>
            <w:r w:rsidR="00F82955" w:rsidRPr="00116DCE">
              <w:t xml:space="preserve"> </w:t>
            </w:r>
            <w:r w:rsidR="00E6393B" w:rsidRPr="00116DCE">
              <w:t xml:space="preserve">të Rrezikut </w:t>
            </w:r>
            <w:r w:rsidR="001C4C11" w:rsidRPr="00116DCE">
              <w:t>Kombëtar.</w:t>
            </w:r>
          </w:p>
          <w:p w:rsidR="005F3C47" w:rsidRPr="004402D6" w:rsidRDefault="005F3C47" w:rsidP="00116DCE">
            <w:pPr>
              <w:ind w:left="288" w:hanging="450"/>
              <w:jc w:val="both"/>
              <w:rPr>
                <w:lang w:val="en-GB"/>
              </w:rPr>
            </w:pPr>
          </w:p>
          <w:p w:rsidR="005F3C47" w:rsidRPr="004402D6" w:rsidRDefault="00116DCE" w:rsidP="00116DCE">
            <w:pPr>
              <w:pStyle w:val="ListParagraph"/>
              <w:spacing w:after="0" w:line="240" w:lineRule="auto"/>
              <w:ind w:left="288"/>
              <w:jc w:val="both"/>
              <w:rPr>
                <w:rFonts w:ascii="Times New Roman" w:hAnsi="Times New Roman"/>
                <w:sz w:val="24"/>
                <w:szCs w:val="24"/>
                <w:lang w:val="en-GB"/>
              </w:rPr>
            </w:pPr>
            <w:r>
              <w:rPr>
                <w:rFonts w:ascii="Times New Roman" w:hAnsi="Times New Roman"/>
                <w:sz w:val="24"/>
                <w:szCs w:val="24"/>
              </w:rPr>
              <w:t xml:space="preserve">1.2. </w:t>
            </w:r>
            <w:r w:rsidR="001C4C11" w:rsidRPr="004402D6">
              <w:rPr>
                <w:rFonts w:ascii="Times New Roman" w:hAnsi="Times New Roman"/>
                <w:sz w:val="24"/>
                <w:szCs w:val="24"/>
              </w:rPr>
              <w:t xml:space="preserve">Faza e identifikimit </w:t>
            </w:r>
            <w:r w:rsidR="00E6393B" w:rsidRPr="004402D6">
              <w:rPr>
                <w:rFonts w:ascii="Times New Roman" w:hAnsi="Times New Roman"/>
                <w:sz w:val="24"/>
                <w:szCs w:val="24"/>
              </w:rPr>
              <w:t xml:space="preserve">- </w:t>
            </w:r>
            <w:r w:rsidR="001C4C11" w:rsidRPr="004402D6">
              <w:rPr>
                <w:rFonts w:ascii="Times New Roman" w:hAnsi="Times New Roman"/>
                <w:sz w:val="24"/>
                <w:szCs w:val="24"/>
              </w:rPr>
              <w:t>përbëhet nga procesi i</w:t>
            </w:r>
            <w:r w:rsidR="00DE5303" w:rsidRPr="004402D6">
              <w:rPr>
                <w:rFonts w:ascii="Times New Roman" w:hAnsi="Times New Roman"/>
                <w:sz w:val="24"/>
                <w:szCs w:val="24"/>
              </w:rPr>
              <w:t xml:space="preserve"> shpalosjes</w:t>
            </w:r>
            <w:r w:rsidR="001C4C11" w:rsidRPr="004402D6">
              <w:rPr>
                <w:rFonts w:ascii="Times New Roman" w:hAnsi="Times New Roman"/>
                <w:sz w:val="24"/>
                <w:szCs w:val="24"/>
              </w:rPr>
              <w:t>, njohjes dhe përshkrimit të rreziqeve dhe dobësive të mekanizmave parandalues.</w:t>
            </w:r>
            <w:r w:rsidR="00F82955" w:rsidRPr="004402D6">
              <w:rPr>
                <w:rFonts w:ascii="Times New Roman" w:hAnsi="Times New Roman"/>
                <w:sz w:val="24"/>
                <w:szCs w:val="24"/>
              </w:rPr>
              <w:t xml:space="preserve"> </w:t>
            </w:r>
          </w:p>
          <w:p w:rsidR="005F3C47" w:rsidRPr="00741F17" w:rsidRDefault="006665D4" w:rsidP="00741F17">
            <w:pPr>
              <w:pStyle w:val="ListParagraph"/>
              <w:ind w:left="288" w:hanging="450"/>
              <w:jc w:val="both"/>
              <w:rPr>
                <w:rFonts w:ascii="Times New Roman" w:hAnsi="Times New Roman"/>
                <w:sz w:val="24"/>
                <w:szCs w:val="24"/>
              </w:rPr>
            </w:pPr>
            <w:r w:rsidRPr="004402D6">
              <w:rPr>
                <w:rFonts w:ascii="Times New Roman" w:hAnsi="Times New Roman"/>
                <w:sz w:val="24"/>
                <w:szCs w:val="24"/>
              </w:rPr>
              <w:t xml:space="preserve">  </w:t>
            </w:r>
            <w:r w:rsidR="00116DCE">
              <w:rPr>
                <w:rFonts w:ascii="Times New Roman" w:hAnsi="Times New Roman"/>
                <w:sz w:val="24"/>
                <w:szCs w:val="24"/>
              </w:rPr>
              <w:t xml:space="preserve">     </w:t>
            </w:r>
            <w:r w:rsidRPr="004402D6">
              <w:rPr>
                <w:rFonts w:ascii="Times New Roman" w:hAnsi="Times New Roman"/>
                <w:sz w:val="24"/>
                <w:szCs w:val="24"/>
              </w:rPr>
              <w:t xml:space="preserve"> </w:t>
            </w:r>
            <w:r w:rsidR="001C4C11" w:rsidRPr="004402D6">
              <w:rPr>
                <w:rFonts w:ascii="Times New Roman" w:hAnsi="Times New Roman"/>
                <w:sz w:val="24"/>
                <w:szCs w:val="24"/>
              </w:rPr>
              <w:t>Faza e identifikimit</w:t>
            </w:r>
            <w:r w:rsidR="00E6393B" w:rsidRPr="004402D6">
              <w:rPr>
                <w:rFonts w:ascii="Times New Roman" w:hAnsi="Times New Roman"/>
                <w:sz w:val="24"/>
                <w:szCs w:val="24"/>
              </w:rPr>
              <w:t>,</w:t>
            </w:r>
            <w:r w:rsidR="001C4C11" w:rsidRPr="004402D6">
              <w:rPr>
                <w:rFonts w:ascii="Times New Roman" w:hAnsi="Times New Roman"/>
                <w:sz w:val="24"/>
                <w:szCs w:val="24"/>
              </w:rPr>
              <w:t xml:space="preserve"> bazohet në komunikimin dhe konsultimin me institucionet relevante publike, private dhe të sektorit të tretë</w:t>
            </w:r>
            <w:r w:rsidR="00E6393B" w:rsidRPr="004402D6">
              <w:rPr>
                <w:rFonts w:ascii="Times New Roman" w:hAnsi="Times New Roman"/>
                <w:sz w:val="24"/>
                <w:szCs w:val="24"/>
              </w:rPr>
              <w:t xml:space="preserve"> </w:t>
            </w:r>
            <w:r w:rsidR="001C4C11" w:rsidRPr="004402D6">
              <w:rPr>
                <w:rFonts w:ascii="Times New Roman" w:hAnsi="Times New Roman"/>
                <w:sz w:val="24"/>
                <w:szCs w:val="24"/>
              </w:rPr>
              <w:t>dhe mund</w:t>
            </w:r>
            <w:r w:rsidR="00E6393B" w:rsidRPr="004402D6">
              <w:rPr>
                <w:rFonts w:ascii="Times New Roman" w:hAnsi="Times New Roman"/>
                <w:sz w:val="24"/>
                <w:szCs w:val="24"/>
              </w:rPr>
              <w:t xml:space="preserve"> </w:t>
            </w:r>
            <w:r w:rsidR="001C4C11" w:rsidRPr="004402D6">
              <w:rPr>
                <w:rFonts w:ascii="Times New Roman" w:hAnsi="Times New Roman"/>
                <w:sz w:val="24"/>
                <w:szCs w:val="24"/>
              </w:rPr>
              <w:t>të përfshijë mbledhjen e statistikave, intervistave me akterë, pyetësorët, analizat e vlerësimeve ekzistuese dhe masat adekuate për të mbledhur informata</w:t>
            </w:r>
            <w:r w:rsidR="00DE5303" w:rsidRPr="004402D6">
              <w:rPr>
                <w:rFonts w:ascii="Times New Roman" w:hAnsi="Times New Roman"/>
                <w:sz w:val="24"/>
                <w:szCs w:val="24"/>
              </w:rPr>
              <w:t>kualitative dhe kuantitative</w:t>
            </w:r>
            <w:r w:rsidR="001C4C11" w:rsidRPr="004402D6">
              <w:rPr>
                <w:rFonts w:ascii="Times New Roman" w:hAnsi="Times New Roman"/>
                <w:sz w:val="24"/>
                <w:szCs w:val="24"/>
              </w:rPr>
              <w:t>. Rreziqet gjithashtu duhet të përfshijnë sektorin specifik ekonomik apo afarist të rreziqeve të identifikuara.</w:t>
            </w:r>
            <w:r w:rsidR="00D91721" w:rsidRPr="004402D6">
              <w:rPr>
                <w:rFonts w:ascii="Times New Roman" w:hAnsi="Times New Roman"/>
                <w:sz w:val="24"/>
                <w:szCs w:val="24"/>
              </w:rPr>
              <w:t xml:space="preserve"> </w:t>
            </w:r>
            <w:r w:rsidR="00DE5303" w:rsidRPr="004402D6">
              <w:rPr>
                <w:rFonts w:ascii="Times New Roman" w:hAnsi="Times New Roman"/>
                <w:sz w:val="24"/>
                <w:szCs w:val="24"/>
              </w:rPr>
              <w:t>Qëllimi i fazë</w:t>
            </w:r>
            <w:r w:rsidR="00D91721" w:rsidRPr="004402D6">
              <w:rPr>
                <w:rFonts w:ascii="Times New Roman" w:hAnsi="Times New Roman"/>
                <w:sz w:val="24"/>
                <w:szCs w:val="24"/>
              </w:rPr>
              <w:t xml:space="preserve">s së identifikimit është që të identifikohen shkaktarët dhe dobësitë të cilat </w:t>
            </w:r>
            <w:r w:rsidR="00D91721" w:rsidRPr="004402D6">
              <w:rPr>
                <w:rFonts w:ascii="Times New Roman" w:hAnsi="Times New Roman"/>
                <w:sz w:val="24"/>
                <w:szCs w:val="24"/>
              </w:rPr>
              <w:lastRenderedPageBreak/>
              <w:t xml:space="preserve">mund të paraqesin rrezik.   </w:t>
            </w:r>
            <w:r w:rsidR="00DE5303" w:rsidRPr="004402D6">
              <w:rPr>
                <w:rFonts w:ascii="Times New Roman" w:hAnsi="Times New Roman"/>
                <w:sz w:val="24"/>
                <w:szCs w:val="24"/>
              </w:rPr>
              <w:t>Shkaktarët dhe pasojat potenciale duhet të identifikohen dhe listohen.</w:t>
            </w:r>
          </w:p>
          <w:p w:rsidR="005F3C47" w:rsidRPr="00116DCE" w:rsidRDefault="00116DCE" w:rsidP="00116DCE">
            <w:pPr>
              <w:ind w:left="288"/>
              <w:jc w:val="both"/>
            </w:pPr>
            <w:r>
              <w:t xml:space="preserve">1.3. </w:t>
            </w:r>
            <w:r w:rsidR="001C4C11" w:rsidRPr="00116DCE">
              <w:t xml:space="preserve">Faza e analizave të rrezikut </w:t>
            </w:r>
            <w:r w:rsidR="00E6393B" w:rsidRPr="00116DCE">
              <w:t xml:space="preserve">- </w:t>
            </w:r>
            <w:r w:rsidR="001C4C11" w:rsidRPr="00116DCE">
              <w:t>përfshinë përcaktimin e pasojave dhe probabilitetit për ngjarjet e identifikuara që përb</w:t>
            </w:r>
            <w:r w:rsidR="00E6393B" w:rsidRPr="00116DCE">
              <w:t>ë</w:t>
            </w:r>
            <w:r w:rsidR="001C4C11" w:rsidRPr="00116DCE">
              <w:t xml:space="preserve">jnë rrezik. </w:t>
            </w:r>
            <w:r w:rsidR="00D91721" w:rsidRPr="00116DCE">
              <w:t xml:space="preserve">Duhet të identifikuar dhe kombinuar  </w:t>
            </w:r>
            <w:r w:rsidR="001C4C11" w:rsidRPr="00116DCE">
              <w:t>aktorët të cilët ndikojnë</w:t>
            </w:r>
            <w:r w:rsidR="009914BC" w:rsidRPr="00116DCE">
              <w:t xml:space="preserve"> </w:t>
            </w:r>
            <w:r w:rsidR="00D91721" w:rsidRPr="00116DCE">
              <w:t xml:space="preserve">në </w:t>
            </w:r>
            <w:r w:rsidR="001C4C11" w:rsidRPr="00116DCE">
              <w:t>pasojat dhe për ta përcaktuar nivelin e rrezikut. Objektiva në këtë fazë</w:t>
            </w:r>
            <w:r w:rsidR="00D91721" w:rsidRPr="00116DCE">
              <w:t xml:space="preserve"> </w:t>
            </w:r>
            <w:r w:rsidR="001C4C11" w:rsidRPr="00116DCE">
              <w:t>është që të përcaktohet natyr</w:t>
            </w:r>
            <w:r w:rsidR="00D91721" w:rsidRPr="00116DCE">
              <w:t>a</w:t>
            </w:r>
            <w:r w:rsidR="001C4C11" w:rsidRPr="00116DCE">
              <w:t>, burimi, probabiliteti dhe pasojat e rreziqeve. Rreziqet prezantohet ndaras si kapituj në vete për pastrimin</w:t>
            </w:r>
            <w:r w:rsidR="00F82955" w:rsidRPr="00116DCE">
              <w:t xml:space="preserve"> </w:t>
            </w:r>
            <w:r w:rsidR="001C4C11" w:rsidRPr="00116DCE">
              <w:t>e</w:t>
            </w:r>
            <w:r w:rsidR="00F82955" w:rsidRPr="00116DCE">
              <w:t xml:space="preserve"> </w:t>
            </w:r>
            <w:r w:rsidR="001C4C11" w:rsidRPr="00116DCE">
              <w:t>parave dhe</w:t>
            </w:r>
            <w:r w:rsidR="00F82955" w:rsidRPr="00116DCE">
              <w:t xml:space="preserve"> </w:t>
            </w:r>
            <w:r w:rsidR="001C4C11" w:rsidRPr="00116DCE">
              <w:t>financimin</w:t>
            </w:r>
            <w:r w:rsidR="00F82955" w:rsidRPr="00116DCE">
              <w:t xml:space="preserve"> </w:t>
            </w:r>
            <w:r w:rsidR="001C4C11" w:rsidRPr="00116DCE">
              <w:t>e</w:t>
            </w:r>
            <w:r w:rsidR="00F82955" w:rsidRPr="00116DCE">
              <w:t xml:space="preserve"> </w:t>
            </w:r>
            <w:r w:rsidR="001C4C11" w:rsidRPr="00116DCE">
              <w:t>terrorizmit. Gjithashtu prezantohen rreziqet horizontale që lidhen me të dy fushat.</w:t>
            </w:r>
          </w:p>
          <w:p w:rsidR="005F3C47" w:rsidRDefault="005F3C47" w:rsidP="006665D4">
            <w:pPr>
              <w:ind w:left="852" w:hanging="450"/>
              <w:jc w:val="both"/>
              <w:rPr>
                <w:lang w:val="en-GB"/>
              </w:rPr>
            </w:pPr>
          </w:p>
          <w:p w:rsidR="00A1433A" w:rsidRPr="004402D6" w:rsidRDefault="00A1433A" w:rsidP="006665D4">
            <w:pPr>
              <w:ind w:left="852" w:hanging="450"/>
              <w:jc w:val="both"/>
              <w:rPr>
                <w:lang w:val="en-GB"/>
              </w:rPr>
            </w:pPr>
          </w:p>
          <w:p w:rsidR="005F3C47" w:rsidRPr="00116DCE" w:rsidRDefault="00116DCE" w:rsidP="00116DCE">
            <w:pPr>
              <w:ind w:left="288"/>
              <w:jc w:val="both"/>
            </w:pPr>
            <w:r>
              <w:t xml:space="preserve">1.4. </w:t>
            </w:r>
            <w:r w:rsidR="001C4C11" w:rsidRPr="00116DCE">
              <w:t xml:space="preserve">Faza e vlerësimit përbëhet nga </w:t>
            </w:r>
            <w:r w:rsidR="00D91721" w:rsidRPr="00116DCE">
              <w:t xml:space="preserve">prioritizimi i </w:t>
            </w:r>
            <w:r w:rsidR="001C4C11" w:rsidRPr="00116DCE">
              <w:t>rreziqe</w:t>
            </w:r>
            <w:r w:rsidR="00D91721" w:rsidRPr="00116DCE">
              <w:t>ve</w:t>
            </w:r>
            <w:r w:rsidR="001C4C11" w:rsidRPr="00116DCE">
              <w:t xml:space="preserve"> </w:t>
            </w:r>
            <w:r w:rsidR="00D91721" w:rsidRPr="00116DCE">
              <w:t>të</w:t>
            </w:r>
            <w:r w:rsidR="001C4C11" w:rsidRPr="00116DCE">
              <w:t xml:space="preserve">identifikuara. Kjo </w:t>
            </w:r>
            <w:r w:rsidR="00D91721" w:rsidRPr="00116DCE">
              <w:t xml:space="preserve">bazohet në </w:t>
            </w:r>
            <w:r w:rsidR="001C4C11" w:rsidRPr="00116DCE">
              <w:t>pasoja</w:t>
            </w:r>
            <w:r w:rsidR="00D91721" w:rsidRPr="00116DCE">
              <w:t>t</w:t>
            </w:r>
            <w:r w:rsidR="001C4C11" w:rsidRPr="00116DCE">
              <w:t>dhe probabiliteti</w:t>
            </w:r>
            <w:r w:rsidR="00D91721" w:rsidRPr="00116DCE">
              <w:t>n</w:t>
            </w:r>
            <w:r w:rsidR="001C4C11" w:rsidRPr="00116DCE">
              <w:t xml:space="preserve"> </w:t>
            </w:r>
            <w:r w:rsidR="00D91721" w:rsidRPr="00116DCE">
              <w:t>e vlerësuar ,</w:t>
            </w:r>
            <w:r w:rsidR="001C4C11" w:rsidRPr="00116DCE">
              <w:t>sa i përket kritereve të përcaktuara të rrezikut.</w:t>
            </w:r>
            <w:r w:rsidR="009A6D67" w:rsidRPr="00116DCE">
              <w:t xml:space="preserve"> Faza e vlerësimit duhet gjithashtu që të përmbaj masat e trajtimit për rreziqet me prioritet. Rreziqet prezantohen ndaras si kapituj në vete për pastrimin e parave dhe financimin e terrorizmit. Gjithashtu prezantohen rreziqet horizontale që lidhen me të dy fushat.</w:t>
            </w:r>
            <w:r w:rsidR="001C4C11" w:rsidRPr="00116DCE">
              <w:t xml:space="preserve"> Vlerësimi gjithashtu përfshinë dhe vendimin nëse rreziku duhet që të:</w:t>
            </w:r>
          </w:p>
          <w:p w:rsidR="004D4872" w:rsidRPr="004402D6" w:rsidRDefault="00116DCE" w:rsidP="00116DCE">
            <w:pPr>
              <w:spacing w:before="120" w:after="120"/>
              <w:ind w:left="576"/>
              <w:jc w:val="both"/>
            </w:pPr>
            <w:r>
              <w:t>1.4</w:t>
            </w:r>
            <w:r w:rsidR="008E5BD0" w:rsidRPr="004402D6">
              <w:t>.1.</w:t>
            </w:r>
            <w:r w:rsidR="005F3C47" w:rsidRPr="004402D6">
              <w:t>Trajtohet menjëherë;</w:t>
            </w:r>
          </w:p>
          <w:p w:rsidR="004D4872" w:rsidRPr="004402D6" w:rsidRDefault="00116DCE" w:rsidP="00116DCE">
            <w:pPr>
              <w:spacing w:before="120" w:after="120"/>
              <w:ind w:left="576"/>
              <w:jc w:val="both"/>
            </w:pPr>
            <w:r>
              <w:t>1.4</w:t>
            </w:r>
            <w:r w:rsidR="008E5BD0" w:rsidRPr="004402D6">
              <w:t>.2.</w:t>
            </w:r>
            <w:r w:rsidR="005F3C47" w:rsidRPr="004402D6">
              <w:t>Trajtohet sa më shpejtë që</w:t>
            </w:r>
            <w:r w:rsidR="00E6393B" w:rsidRPr="004402D6">
              <w:t xml:space="preserve"> </w:t>
            </w:r>
            <w:r w:rsidR="005F3C47" w:rsidRPr="004402D6">
              <w:t>është e mundur;</w:t>
            </w:r>
          </w:p>
          <w:p w:rsidR="004D4872" w:rsidRPr="004402D6" w:rsidRDefault="00116DCE" w:rsidP="00116DCE">
            <w:pPr>
              <w:spacing w:before="120" w:after="120"/>
              <w:ind w:left="576"/>
              <w:jc w:val="both"/>
            </w:pPr>
            <w:r>
              <w:lastRenderedPageBreak/>
              <w:t>1.4</w:t>
            </w:r>
            <w:r w:rsidR="008E5BD0" w:rsidRPr="004402D6">
              <w:t xml:space="preserve">.3. </w:t>
            </w:r>
            <w:r w:rsidR="001C4C11" w:rsidRPr="004402D6">
              <w:t>Trajtohet në një afat të caktuar:</w:t>
            </w:r>
          </w:p>
          <w:p w:rsidR="004D4872" w:rsidRPr="004402D6" w:rsidRDefault="00116DCE" w:rsidP="00116DCE">
            <w:pPr>
              <w:spacing w:before="120" w:after="120"/>
              <w:ind w:left="576"/>
              <w:jc w:val="both"/>
            </w:pPr>
            <w:r>
              <w:t>1.4</w:t>
            </w:r>
            <w:r w:rsidR="008E5BD0" w:rsidRPr="004402D6">
              <w:t xml:space="preserve">.4. </w:t>
            </w:r>
            <w:r w:rsidR="001C4C11" w:rsidRPr="004402D6">
              <w:t>Monitorohet pa ndonjë masë të nevojshme.</w:t>
            </w:r>
          </w:p>
          <w:p w:rsidR="005F3C47" w:rsidRPr="004402D6" w:rsidRDefault="005F3C47" w:rsidP="005F3C47">
            <w:pPr>
              <w:keepNext/>
              <w:keepLines/>
              <w:spacing w:before="200"/>
              <w:jc w:val="both"/>
              <w:outlineLvl w:val="2"/>
              <w:rPr>
                <w:lang w:val="en-GB"/>
              </w:rPr>
            </w:pPr>
          </w:p>
          <w:p w:rsidR="005F3C47" w:rsidRPr="004402D6" w:rsidRDefault="001C4C11" w:rsidP="005F3C47">
            <w:pPr>
              <w:jc w:val="center"/>
              <w:rPr>
                <w:b/>
              </w:rPr>
            </w:pPr>
            <w:r w:rsidRPr="004402D6">
              <w:rPr>
                <w:b/>
              </w:rPr>
              <w:t>Neni 6</w:t>
            </w:r>
          </w:p>
          <w:p w:rsidR="005F3C47" w:rsidRPr="004402D6" w:rsidRDefault="001C4C11" w:rsidP="005F3C47">
            <w:pPr>
              <w:jc w:val="center"/>
              <w:rPr>
                <w:b/>
              </w:rPr>
            </w:pPr>
            <w:r w:rsidRPr="004402D6">
              <w:rPr>
                <w:b/>
              </w:rPr>
              <w:t>Forma dhe struktura</w:t>
            </w:r>
            <w:r w:rsidR="00103957" w:rsidRPr="004402D6">
              <w:rPr>
                <w:b/>
              </w:rPr>
              <w:t xml:space="preserve"> </w:t>
            </w:r>
            <w:r w:rsidRPr="004402D6">
              <w:rPr>
                <w:b/>
              </w:rPr>
              <w:t>e</w:t>
            </w:r>
            <w:r w:rsidR="00103957" w:rsidRPr="004402D6">
              <w:rPr>
                <w:b/>
              </w:rPr>
              <w:t xml:space="preserve"> </w:t>
            </w:r>
            <w:r w:rsidRPr="004402D6">
              <w:rPr>
                <w:b/>
              </w:rPr>
              <w:t xml:space="preserve">Vlerësimit </w:t>
            </w:r>
            <w:r w:rsidR="00E6393B" w:rsidRPr="004402D6">
              <w:rPr>
                <w:b/>
              </w:rPr>
              <w:t xml:space="preserve">të Rrezikut </w:t>
            </w:r>
            <w:r w:rsidRPr="004402D6">
              <w:rPr>
                <w:b/>
              </w:rPr>
              <w:t xml:space="preserve">Kombëtar </w:t>
            </w:r>
          </w:p>
          <w:p w:rsidR="00741F17" w:rsidRDefault="009A6D67" w:rsidP="006665D4">
            <w:pPr>
              <w:spacing w:before="240"/>
              <w:jc w:val="both"/>
            </w:pPr>
            <w:r w:rsidRPr="004402D6">
              <w:t xml:space="preserve">1. </w:t>
            </w:r>
            <w:r w:rsidR="001C4C11" w:rsidRPr="004402D6">
              <w:t>NJIF</w:t>
            </w:r>
            <w:r w:rsidR="006665D4" w:rsidRPr="004402D6">
              <w:t>-</w:t>
            </w:r>
            <w:r w:rsidR="001C4C11" w:rsidRPr="004402D6">
              <w:t>K duhet të dokumentoj Procesin</w:t>
            </w:r>
            <w:r w:rsidR="00E6393B" w:rsidRPr="004402D6">
              <w:t xml:space="preserve"> </w:t>
            </w:r>
            <w:r w:rsidR="001C4C11" w:rsidRPr="004402D6">
              <w:t>e Vlerësimit të Rrezikut</w:t>
            </w:r>
            <w:r w:rsidR="00E6393B" w:rsidRPr="004402D6">
              <w:t xml:space="preserve"> </w:t>
            </w:r>
            <w:r w:rsidR="001C4C11" w:rsidRPr="004402D6">
              <w:t>për</w:t>
            </w:r>
            <w:r w:rsidR="00E6393B" w:rsidRPr="004402D6">
              <w:t xml:space="preserve"> </w:t>
            </w:r>
            <w:r w:rsidR="001C4C11" w:rsidRPr="004402D6">
              <w:t>Pastrimin</w:t>
            </w:r>
            <w:r w:rsidR="00D810B2" w:rsidRPr="004402D6">
              <w:t xml:space="preserve"> </w:t>
            </w:r>
            <w:r w:rsidR="001C4C11" w:rsidRPr="004402D6">
              <w:t>e Parave, Financimin</w:t>
            </w:r>
            <w:r w:rsidR="00E6393B" w:rsidRPr="004402D6">
              <w:t xml:space="preserve"> </w:t>
            </w:r>
            <w:r w:rsidR="001C4C11" w:rsidRPr="004402D6">
              <w:t>e Terrorizmit dhe ekonomisë joformale, si dhe rezultatet e tyre të prezantohen në një raport i cili duhet të përfshijë së paku:</w:t>
            </w:r>
          </w:p>
          <w:p w:rsidR="00741F17" w:rsidRPr="00741F17" w:rsidRDefault="00741F17" w:rsidP="006665D4">
            <w:pPr>
              <w:spacing w:before="240"/>
              <w:jc w:val="both"/>
              <w:rPr>
                <w:sz w:val="2"/>
              </w:rPr>
            </w:pPr>
          </w:p>
          <w:p w:rsidR="004D4872" w:rsidRPr="004402D6" w:rsidRDefault="009A6D67" w:rsidP="00741F17">
            <w:pPr>
              <w:spacing w:before="120" w:after="120"/>
              <w:ind w:left="288"/>
              <w:jc w:val="both"/>
            </w:pPr>
            <w:r w:rsidRPr="004402D6">
              <w:t>1.1.</w:t>
            </w:r>
            <w:r w:rsidR="001C4C11" w:rsidRPr="004402D6">
              <w:t xml:space="preserve">Përcaktimin e fushëveprimit </w:t>
            </w:r>
            <w:r w:rsidR="00B23562" w:rsidRPr="004402D6">
              <w:t xml:space="preserve">dhe kritereve </w:t>
            </w:r>
            <w:r w:rsidR="001C4C11" w:rsidRPr="004402D6">
              <w:t>të</w:t>
            </w:r>
            <w:r w:rsidR="00F82955" w:rsidRPr="004402D6">
              <w:t xml:space="preserve"> </w:t>
            </w:r>
            <w:r w:rsidR="005F3C47" w:rsidRPr="004402D6">
              <w:t>vlerësimit</w:t>
            </w:r>
            <w:r w:rsidR="00F82955" w:rsidRPr="004402D6">
              <w:t xml:space="preserve"> </w:t>
            </w:r>
            <w:r w:rsidR="005F3C47" w:rsidRPr="004402D6">
              <w:t>të</w:t>
            </w:r>
            <w:r w:rsidR="00F82955" w:rsidRPr="004402D6">
              <w:t xml:space="preserve"> </w:t>
            </w:r>
            <w:r w:rsidR="005F3C47" w:rsidRPr="004402D6">
              <w:t>rrezikut</w:t>
            </w:r>
            <w:r w:rsidR="00F82955" w:rsidRPr="004402D6">
              <w:t xml:space="preserve"> </w:t>
            </w:r>
            <w:r w:rsidR="005F3C47" w:rsidRPr="004402D6">
              <w:t>të rrezikut</w:t>
            </w:r>
            <w:r w:rsidR="00E6393B" w:rsidRPr="004402D6">
              <w:t>;</w:t>
            </w:r>
          </w:p>
          <w:p w:rsidR="004D4872" w:rsidRPr="004402D6" w:rsidRDefault="009A6D67" w:rsidP="00741F17">
            <w:pPr>
              <w:spacing w:before="120" w:after="120"/>
              <w:ind w:left="288"/>
              <w:jc w:val="both"/>
            </w:pPr>
            <w:r w:rsidRPr="004402D6">
              <w:t>1.2.</w:t>
            </w:r>
            <w:r w:rsidR="001C4C11" w:rsidRPr="004402D6">
              <w:t>Identifikimin e institucioneve të përfshira në proces</w:t>
            </w:r>
            <w:r w:rsidR="00E6393B" w:rsidRPr="004402D6">
              <w:t>;</w:t>
            </w:r>
            <w:r w:rsidR="001C4C11" w:rsidRPr="004402D6">
              <w:t xml:space="preserve"> </w:t>
            </w:r>
          </w:p>
          <w:p w:rsidR="004D4872" w:rsidRPr="004402D6" w:rsidRDefault="009A6D67" w:rsidP="00741F17">
            <w:pPr>
              <w:spacing w:before="120" w:after="120"/>
              <w:ind w:left="288"/>
              <w:jc w:val="both"/>
            </w:pPr>
            <w:r w:rsidRPr="004402D6">
              <w:t>1.3.</w:t>
            </w:r>
            <w:r w:rsidR="001C4C11" w:rsidRPr="004402D6">
              <w:t>Metodologjinë e përdorur për vlerësimin</w:t>
            </w:r>
            <w:r w:rsidR="00F82955" w:rsidRPr="004402D6">
              <w:t xml:space="preserve"> </w:t>
            </w:r>
            <w:r w:rsidR="005F3C47" w:rsidRPr="004402D6">
              <w:t>e</w:t>
            </w:r>
            <w:r w:rsidR="00F82955" w:rsidRPr="004402D6">
              <w:t xml:space="preserve"> </w:t>
            </w:r>
            <w:r w:rsidR="005F3C47" w:rsidRPr="004402D6">
              <w:t>rrezikut</w:t>
            </w:r>
            <w:r w:rsidR="00E6393B" w:rsidRPr="004402D6">
              <w:t>;</w:t>
            </w:r>
          </w:p>
          <w:p w:rsidR="004D4872" w:rsidRPr="004402D6" w:rsidRDefault="009A6D67" w:rsidP="00741F17">
            <w:pPr>
              <w:spacing w:before="120" w:after="120"/>
              <w:ind w:left="288"/>
              <w:jc w:val="both"/>
            </w:pPr>
            <w:r w:rsidRPr="004402D6">
              <w:t>1.4.</w:t>
            </w:r>
            <w:r w:rsidR="001C4C11" w:rsidRPr="004402D6">
              <w:t>Identifikimin e rreziqeve horizontale, pastrimin</w:t>
            </w:r>
            <w:r w:rsidR="00F82955" w:rsidRPr="004402D6">
              <w:t xml:space="preserve"> </w:t>
            </w:r>
            <w:r w:rsidR="005F3C47" w:rsidRPr="004402D6">
              <w:t>e</w:t>
            </w:r>
            <w:r w:rsidR="00F82955" w:rsidRPr="004402D6">
              <w:t xml:space="preserve"> </w:t>
            </w:r>
            <w:r w:rsidR="005F3C47" w:rsidRPr="004402D6">
              <w:t>parave dhe</w:t>
            </w:r>
            <w:r w:rsidR="00F82955" w:rsidRPr="004402D6">
              <w:t xml:space="preserve"> </w:t>
            </w:r>
            <w:r w:rsidR="005F3C47" w:rsidRPr="004402D6">
              <w:t>financimin</w:t>
            </w:r>
            <w:r w:rsidR="00F82955" w:rsidRPr="004402D6">
              <w:t xml:space="preserve"> </w:t>
            </w:r>
            <w:r w:rsidR="005F3C47" w:rsidRPr="004402D6">
              <w:t>e</w:t>
            </w:r>
            <w:r w:rsidR="00F82955" w:rsidRPr="004402D6">
              <w:t xml:space="preserve"> </w:t>
            </w:r>
            <w:r w:rsidR="005F3C47" w:rsidRPr="004402D6">
              <w:t>terrorizmit</w:t>
            </w:r>
          </w:p>
          <w:p w:rsidR="004D4872" w:rsidRPr="004402D6" w:rsidRDefault="009A6D67" w:rsidP="00741F17">
            <w:pPr>
              <w:spacing w:before="120" w:after="120"/>
              <w:ind w:left="288"/>
              <w:jc w:val="both"/>
            </w:pPr>
            <w:r w:rsidRPr="004402D6">
              <w:t>1.5.</w:t>
            </w:r>
            <w:r w:rsidR="001C4C11" w:rsidRPr="004402D6">
              <w:t>Analizën e rreziqeve horizontale</w:t>
            </w:r>
            <w:r w:rsidR="00E6393B" w:rsidRPr="004402D6">
              <w:t>;</w:t>
            </w:r>
            <w:r w:rsidR="001C4C11" w:rsidRPr="004402D6">
              <w:t xml:space="preserve"> </w:t>
            </w:r>
          </w:p>
          <w:p w:rsidR="004D4872" w:rsidRPr="004402D6" w:rsidRDefault="009A6D67" w:rsidP="00741F17">
            <w:pPr>
              <w:spacing w:before="120" w:after="120"/>
              <w:ind w:left="288"/>
              <w:jc w:val="both"/>
            </w:pPr>
            <w:r w:rsidRPr="004402D6">
              <w:t>1.6.</w:t>
            </w:r>
            <w:r w:rsidR="001C4C11" w:rsidRPr="004402D6">
              <w:t>Analizën e rreziqeve për pastrimin</w:t>
            </w:r>
            <w:r w:rsidR="00F82955" w:rsidRPr="004402D6">
              <w:t xml:space="preserve"> </w:t>
            </w:r>
            <w:r w:rsidR="005F3C47" w:rsidRPr="004402D6">
              <w:t>e</w:t>
            </w:r>
            <w:r w:rsidR="00F82955" w:rsidRPr="004402D6">
              <w:t xml:space="preserve"> </w:t>
            </w:r>
            <w:r w:rsidR="005F3C47" w:rsidRPr="004402D6">
              <w:t>parave</w:t>
            </w:r>
            <w:r w:rsidR="00E6393B" w:rsidRPr="004402D6">
              <w:t>;</w:t>
            </w:r>
          </w:p>
          <w:p w:rsidR="004D4872" w:rsidRPr="004402D6" w:rsidRDefault="009A6D67" w:rsidP="00741F17">
            <w:pPr>
              <w:spacing w:before="120" w:after="120"/>
              <w:ind w:left="288"/>
              <w:jc w:val="both"/>
            </w:pPr>
            <w:r w:rsidRPr="004402D6">
              <w:t>1.7.</w:t>
            </w:r>
            <w:r w:rsidR="005F3C47" w:rsidRPr="004402D6">
              <w:t>Analizën e rreziqeve për</w:t>
            </w:r>
            <w:r w:rsidR="00F82955" w:rsidRPr="004402D6">
              <w:t xml:space="preserve"> </w:t>
            </w:r>
            <w:r w:rsidR="005F3C47" w:rsidRPr="004402D6">
              <w:t>financimin</w:t>
            </w:r>
            <w:r w:rsidR="00F82955" w:rsidRPr="004402D6">
              <w:t xml:space="preserve"> </w:t>
            </w:r>
            <w:r w:rsidR="005F3C47" w:rsidRPr="004402D6">
              <w:t>e</w:t>
            </w:r>
            <w:r w:rsidR="00F82955" w:rsidRPr="004402D6">
              <w:t xml:space="preserve"> </w:t>
            </w:r>
            <w:r w:rsidR="005F3C47" w:rsidRPr="004402D6">
              <w:t>terrorizmit</w:t>
            </w:r>
            <w:r w:rsidR="00E6393B" w:rsidRPr="004402D6">
              <w:t>;</w:t>
            </w:r>
          </w:p>
          <w:p w:rsidR="00741F17" w:rsidRDefault="009A6D67" w:rsidP="00741F17">
            <w:pPr>
              <w:spacing w:before="120" w:after="120"/>
              <w:ind w:left="288"/>
              <w:jc w:val="both"/>
            </w:pPr>
            <w:r w:rsidRPr="004402D6">
              <w:t>1.8.</w:t>
            </w:r>
            <w:r w:rsidR="001C4C11" w:rsidRPr="004402D6">
              <w:t>Vlerësimi</w:t>
            </w:r>
            <w:r w:rsidR="00E6393B" w:rsidRPr="004402D6">
              <w:t>n</w:t>
            </w:r>
            <w:r w:rsidR="001C4C11" w:rsidRPr="004402D6">
              <w:t xml:space="preserve"> </w:t>
            </w:r>
            <w:r w:rsidR="00E6393B" w:rsidRPr="004402D6">
              <w:t>e</w:t>
            </w:r>
            <w:r w:rsidR="001C4C11" w:rsidRPr="004402D6">
              <w:t xml:space="preserve"> rreziqeve</w:t>
            </w:r>
            <w:r w:rsidR="00E6393B" w:rsidRPr="004402D6">
              <w:t>;</w:t>
            </w:r>
            <w:r w:rsidR="001C4C11" w:rsidRPr="004402D6">
              <w:t xml:space="preserve"> </w:t>
            </w:r>
          </w:p>
          <w:p w:rsidR="004D4872" w:rsidRPr="004402D6" w:rsidRDefault="009A6D67" w:rsidP="00741F17">
            <w:pPr>
              <w:spacing w:before="120" w:after="120"/>
              <w:ind w:left="288"/>
              <w:jc w:val="both"/>
            </w:pPr>
            <w:r w:rsidRPr="004402D6">
              <w:lastRenderedPageBreak/>
              <w:t>1.9.</w:t>
            </w:r>
            <w:r w:rsidR="001C4C11" w:rsidRPr="004402D6">
              <w:t>Planin</w:t>
            </w:r>
            <w:r w:rsidR="00F82955" w:rsidRPr="004402D6">
              <w:t xml:space="preserve"> </w:t>
            </w:r>
            <w:r w:rsidR="005F3C47" w:rsidRPr="004402D6">
              <w:t>e</w:t>
            </w:r>
            <w:r w:rsidR="00F82955" w:rsidRPr="004402D6">
              <w:t xml:space="preserve"> </w:t>
            </w:r>
            <w:r w:rsidR="005F3C47" w:rsidRPr="004402D6">
              <w:t>Veprimit lidhur me masat trajtuese për rreziqet me prioritet</w:t>
            </w:r>
            <w:r w:rsidR="00E6393B" w:rsidRPr="004402D6">
              <w:t>;</w:t>
            </w:r>
          </w:p>
          <w:p w:rsidR="004D4872" w:rsidRPr="004402D6" w:rsidRDefault="009A6D67" w:rsidP="00741F17">
            <w:pPr>
              <w:spacing w:before="120" w:after="120"/>
              <w:ind w:left="288"/>
              <w:jc w:val="both"/>
            </w:pPr>
            <w:r w:rsidRPr="004402D6">
              <w:t xml:space="preserve">1.10. </w:t>
            </w:r>
            <w:r w:rsidR="001C4C11" w:rsidRPr="004402D6">
              <w:t>Rekomandimet mbi shpërndarjen dhe publikimin e vlerësimit</w:t>
            </w:r>
            <w:r w:rsidR="00F82955" w:rsidRPr="004402D6">
              <w:t xml:space="preserve"> </w:t>
            </w:r>
            <w:r w:rsidR="005F3C47" w:rsidRPr="004402D6">
              <w:t>të</w:t>
            </w:r>
            <w:r w:rsidR="00F82955" w:rsidRPr="004402D6">
              <w:t xml:space="preserve"> </w:t>
            </w:r>
            <w:r w:rsidR="005F3C47" w:rsidRPr="004402D6">
              <w:t>rrezikut</w:t>
            </w:r>
            <w:r w:rsidR="00F82955" w:rsidRPr="004402D6">
              <w:t xml:space="preserve"> </w:t>
            </w:r>
            <w:r w:rsidR="005F3C47" w:rsidRPr="004402D6">
              <w:t>dhe</w:t>
            </w:r>
            <w:r w:rsidR="00F82955" w:rsidRPr="004402D6">
              <w:t xml:space="preserve"> </w:t>
            </w:r>
            <w:r w:rsidR="005F3C47" w:rsidRPr="004402D6">
              <w:t>Planit të Veprimit</w:t>
            </w:r>
            <w:r w:rsidR="00E6393B" w:rsidRPr="004402D6">
              <w:t xml:space="preserve">. </w:t>
            </w:r>
            <w:r w:rsidR="005F3C47" w:rsidRPr="004402D6">
              <w:t xml:space="preserve"> </w:t>
            </w:r>
          </w:p>
          <w:p w:rsidR="00E6393B" w:rsidRDefault="00E6393B" w:rsidP="005F3C47">
            <w:pPr>
              <w:pStyle w:val="NoSpacing"/>
              <w:jc w:val="center"/>
              <w:rPr>
                <w:b/>
              </w:rPr>
            </w:pPr>
          </w:p>
          <w:p w:rsidR="00741F17" w:rsidRPr="004402D6" w:rsidRDefault="00741F17" w:rsidP="005F3C47">
            <w:pPr>
              <w:pStyle w:val="NoSpacing"/>
              <w:jc w:val="center"/>
              <w:rPr>
                <w:b/>
              </w:rPr>
            </w:pPr>
          </w:p>
          <w:p w:rsidR="005F3C47" w:rsidRPr="004402D6" w:rsidRDefault="001C4C11" w:rsidP="005F3C47">
            <w:pPr>
              <w:pStyle w:val="NoSpacing"/>
              <w:jc w:val="center"/>
              <w:rPr>
                <w:b/>
              </w:rPr>
            </w:pPr>
            <w:r w:rsidRPr="004402D6">
              <w:rPr>
                <w:b/>
              </w:rPr>
              <w:t>Neni 7</w:t>
            </w:r>
          </w:p>
          <w:p w:rsidR="005F3C47" w:rsidRPr="004402D6" w:rsidRDefault="001C4C11" w:rsidP="005F3C47">
            <w:pPr>
              <w:pStyle w:val="NoSpacing"/>
              <w:jc w:val="center"/>
              <w:rPr>
                <w:b/>
              </w:rPr>
            </w:pPr>
            <w:r w:rsidRPr="004402D6">
              <w:rPr>
                <w:b/>
              </w:rPr>
              <w:t xml:space="preserve">Miratimi, shpërndarja dhe publikimi i Vlerësimit </w:t>
            </w:r>
            <w:r w:rsidR="003A4B1F" w:rsidRPr="004402D6">
              <w:rPr>
                <w:b/>
              </w:rPr>
              <w:t xml:space="preserve">të Rrezikut </w:t>
            </w:r>
            <w:r w:rsidRPr="004402D6">
              <w:rPr>
                <w:b/>
              </w:rPr>
              <w:t xml:space="preserve">Kombëtar </w:t>
            </w:r>
          </w:p>
          <w:p w:rsidR="005F3C47" w:rsidRPr="004402D6" w:rsidRDefault="005F3C47" w:rsidP="005F3C47">
            <w:pPr>
              <w:pStyle w:val="NoSpacing"/>
              <w:keepNext/>
              <w:keepLines/>
              <w:spacing w:before="480"/>
              <w:jc w:val="center"/>
              <w:outlineLvl w:val="0"/>
              <w:rPr>
                <w:b/>
                <w:lang w:val="en-GB"/>
              </w:rPr>
            </w:pPr>
          </w:p>
          <w:p w:rsidR="00741F17" w:rsidRDefault="001C4C11" w:rsidP="00741F17">
            <w:pPr>
              <w:jc w:val="both"/>
            </w:pPr>
            <w:r w:rsidRPr="004402D6">
              <w:t>NJIF</w:t>
            </w:r>
            <w:r w:rsidR="006665D4" w:rsidRPr="004402D6">
              <w:t>-</w:t>
            </w:r>
            <w:r w:rsidRPr="004402D6">
              <w:t>K dorëzo</w:t>
            </w:r>
            <w:r w:rsidR="009A6D67" w:rsidRPr="004402D6">
              <w:t>n</w:t>
            </w:r>
            <w:r w:rsidRPr="004402D6">
              <w:t xml:space="preserve"> raportin i cili për</w:t>
            </w:r>
            <w:r w:rsidR="003A4B1F" w:rsidRPr="004402D6">
              <w:t>mban</w:t>
            </w:r>
            <w:r w:rsidRPr="004402D6">
              <w:t xml:space="preserve"> Vlerësimin e Rrezikut</w:t>
            </w:r>
            <w:r w:rsidR="003A4B1F" w:rsidRPr="004402D6">
              <w:t xml:space="preserve"> </w:t>
            </w:r>
            <w:r w:rsidRPr="004402D6">
              <w:t>Kombëtar për</w:t>
            </w:r>
            <w:r w:rsidR="003A4B1F" w:rsidRPr="004402D6">
              <w:t xml:space="preserve"> </w:t>
            </w:r>
            <w:r w:rsidRPr="004402D6">
              <w:t>pastrimin</w:t>
            </w:r>
            <w:r w:rsidR="003A4B1F" w:rsidRPr="004402D6">
              <w:t xml:space="preserve"> </w:t>
            </w:r>
            <w:r w:rsidRPr="004402D6">
              <w:t>e</w:t>
            </w:r>
            <w:r w:rsidR="003A4B1F" w:rsidRPr="004402D6">
              <w:t xml:space="preserve"> </w:t>
            </w:r>
            <w:r w:rsidRPr="004402D6">
              <w:t>parave, financimin e terrorizmit dhe ekonomisë joformale te</w:t>
            </w:r>
            <w:r w:rsidR="003A4B1F" w:rsidRPr="004402D6">
              <w:t>k</w:t>
            </w:r>
            <w:r w:rsidRPr="004402D6">
              <w:t xml:space="preserve"> Ministria e Financave e cila do ta prezantoj</w:t>
            </w:r>
            <w:r w:rsidR="003A4B1F" w:rsidRPr="004402D6">
              <w:t xml:space="preserve"> dhe propozoj  </w:t>
            </w:r>
            <w:r w:rsidRPr="004402D6">
              <w:t xml:space="preserve"> atë te</w:t>
            </w:r>
            <w:r w:rsidR="003A4B1F" w:rsidRPr="004402D6">
              <w:t>k</w:t>
            </w:r>
            <w:r w:rsidRPr="004402D6">
              <w:t xml:space="preserve"> Qeveria Republikës</w:t>
            </w:r>
            <w:r w:rsidR="003A4B1F" w:rsidRPr="004402D6">
              <w:t xml:space="preserve"> </w:t>
            </w:r>
            <w:r w:rsidRPr="004402D6">
              <w:t>së Kosovës</w:t>
            </w:r>
            <w:r w:rsidR="003A4B1F" w:rsidRPr="004402D6">
              <w:t xml:space="preserve"> </w:t>
            </w:r>
            <w:r w:rsidR="00741F17">
              <w:t>për miratim.</w:t>
            </w:r>
          </w:p>
          <w:p w:rsidR="006665D4" w:rsidRDefault="001C4C11" w:rsidP="00741F17">
            <w:pPr>
              <w:jc w:val="both"/>
            </w:pPr>
            <w:r w:rsidRPr="004402D6">
              <w:t>Pas propozimit të Ministrisë së Financave, Qeveria e Republikës</w:t>
            </w:r>
            <w:r w:rsidR="003A4B1F" w:rsidRPr="004402D6">
              <w:t xml:space="preserve"> </w:t>
            </w:r>
            <w:r w:rsidRPr="004402D6">
              <w:t>së Kosovës duhet të vendos lidhur me shpërndarjen dhe publikimin e Vlerësimit Kombëtartë Rrezikut dhe Planit të Veprimit për</w:t>
            </w:r>
            <w:r w:rsidR="003A4B1F" w:rsidRPr="004402D6">
              <w:t xml:space="preserve"> </w:t>
            </w:r>
            <w:r w:rsidRPr="004402D6">
              <w:t>pastrimin</w:t>
            </w:r>
            <w:r w:rsidR="003A4B1F" w:rsidRPr="004402D6">
              <w:t xml:space="preserve"> </w:t>
            </w:r>
            <w:r w:rsidRPr="004402D6">
              <w:t>e</w:t>
            </w:r>
            <w:r w:rsidR="003A4B1F" w:rsidRPr="004402D6">
              <w:t xml:space="preserve"> </w:t>
            </w:r>
            <w:r w:rsidRPr="004402D6">
              <w:t>parave, financimin e terrorizmit dhe ekonomisë joformale. Nëse</w:t>
            </w:r>
            <w:r w:rsidR="00103957" w:rsidRPr="004402D6">
              <w:t xml:space="preserve"> </w:t>
            </w:r>
            <w:r w:rsidRPr="004402D6">
              <w:t xml:space="preserve">Vlerësimi </w:t>
            </w:r>
            <w:r w:rsidR="009914BC" w:rsidRPr="004402D6">
              <w:t xml:space="preserve">i Rrezikut </w:t>
            </w:r>
            <w:r w:rsidRPr="004402D6">
              <w:t xml:space="preserve">Kombëtar nuk publikohet, atëherë publikohet përmbledhja e vlerësimit dhe lista e masave të nevojshme </w:t>
            </w:r>
            <w:r w:rsidR="009914BC" w:rsidRPr="004402D6">
              <w:t xml:space="preserve">që duhet </w:t>
            </w:r>
            <w:r w:rsidRPr="004402D6">
              <w:t>të ndërmerren menjëherë. Bazuar në rreziqet me prioritet, Qeveria e Republikës së Kosovës duhet të vendos për strategjitë dhe masat tjer</w:t>
            </w:r>
            <w:r w:rsidR="00741F17">
              <w:t>a trajtuese në nivelin kombëtar.</w:t>
            </w:r>
          </w:p>
          <w:p w:rsidR="00741F17" w:rsidRPr="00741F17" w:rsidRDefault="00741F17" w:rsidP="00741F17">
            <w:pPr>
              <w:jc w:val="both"/>
            </w:pPr>
          </w:p>
          <w:p w:rsidR="00741F17" w:rsidRPr="00741F17" w:rsidRDefault="00741F17" w:rsidP="005F3C47">
            <w:pPr>
              <w:keepNext/>
              <w:keepLines/>
              <w:spacing w:before="200" w:after="160" w:line="259" w:lineRule="auto"/>
              <w:outlineLvl w:val="2"/>
              <w:rPr>
                <w:rFonts w:eastAsia="Times New Roman"/>
                <w:sz w:val="8"/>
                <w:lang w:val="en-GB"/>
              </w:rPr>
            </w:pPr>
          </w:p>
          <w:p w:rsidR="005F3C47" w:rsidRPr="004402D6" w:rsidRDefault="001C4C11" w:rsidP="005F3C47">
            <w:pPr>
              <w:jc w:val="center"/>
              <w:rPr>
                <w:rFonts w:eastAsia="Times New Roman"/>
                <w:b/>
              </w:rPr>
            </w:pPr>
            <w:r w:rsidRPr="004402D6">
              <w:rPr>
                <w:b/>
              </w:rPr>
              <w:t>Neni 8</w:t>
            </w:r>
          </w:p>
          <w:p w:rsidR="005F3C47" w:rsidRPr="004402D6" w:rsidRDefault="001C4C11" w:rsidP="005F3C47">
            <w:pPr>
              <w:jc w:val="center"/>
              <w:rPr>
                <w:b/>
              </w:rPr>
            </w:pPr>
            <w:r w:rsidRPr="004402D6">
              <w:rPr>
                <w:b/>
              </w:rPr>
              <w:t>Hyrja në fuqi</w:t>
            </w:r>
          </w:p>
          <w:p w:rsidR="009914BC" w:rsidRPr="004402D6" w:rsidRDefault="009914BC" w:rsidP="005F3C47">
            <w:pPr>
              <w:jc w:val="center"/>
              <w:rPr>
                <w:rFonts w:eastAsia="Times New Roman"/>
                <w:b/>
              </w:rPr>
            </w:pPr>
          </w:p>
          <w:p w:rsidR="005F3C47" w:rsidRDefault="00741F17" w:rsidP="00741F17">
            <w:pPr>
              <w:autoSpaceDE w:val="0"/>
              <w:autoSpaceDN w:val="0"/>
              <w:adjustRightInd w:val="0"/>
              <w:jc w:val="both"/>
              <w:rPr>
                <w:lang w:val="sq-AL"/>
              </w:rPr>
            </w:pPr>
            <w:r>
              <w:rPr>
                <w:lang w:val="sq-AL"/>
              </w:rPr>
              <w:t xml:space="preserve">1. </w:t>
            </w:r>
            <w:r w:rsidR="00B96A78">
              <w:rPr>
                <w:lang w:val="sq-AL"/>
              </w:rPr>
              <w:t>Ky Udhëzim A</w:t>
            </w:r>
            <w:r w:rsidR="009914BC" w:rsidRPr="004402D6">
              <w:rPr>
                <w:lang w:val="sq-AL"/>
              </w:rPr>
              <w:t>dministrativ shfuq</w:t>
            </w:r>
            <w:r w:rsidR="009A6D67" w:rsidRPr="004402D6">
              <w:rPr>
                <w:lang w:val="sq-AL"/>
              </w:rPr>
              <w:t>i</w:t>
            </w:r>
            <w:r w:rsidR="009914BC" w:rsidRPr="004402D6">
              <w:rPr>
                <w:lang w:val="sq-AL"/>
              </w:rPr>
              <w:t xml:space="preserve">zon Udhëzimin Administrativ të Ministrisë së Financave </w:t>
            </w:r>
            <w:proofErr w:type="spellStart"/>
            <w:r w:rsidR="009914BC" w:rsidRPr="004402D6">
              <w:rPr>
                <w:lang w:val="sq-AL"/>
              </w:rPr>
              <w:t>Nr</w:t>
            </w:r>
            <w:proofErr w:type="spellEnd"/>
            <w:r w:rsidR="009914BC" w:rsidRPr="004402D6">
              <w:rPr>
                <w:lang w:val="sq-AL"/>
              </w:rPr>
              <w:t xml:space="preserve"> 04/2013 </w:t>
            </w:r>
            <w:r w:rsidR="00B23562" w:rsidRPr="004402D6">
              <w:rPr>
                <w:lang w:val="sq-AL"/>
              </w:rPr>
              <w:t xml:space="preserve">të datës 06.09.2013, </w:t>
            </w:r>
            <w:r w:rsidR="009914BC" w:rsidRPr="004402D6">
              <w:rPr>
                <w:lang w:val="sq-AL"/>
              </w:rPr>
              <w:t>për</w:t>
            </w:r>
            <w:r w:rsidR="00B23562" w:rsidRPr="004402D6">
              <w:rPr>
                <w:lang w:val="sq-AL"/>
              </w:rPr>
              <w:t xml:space="preserve"> Vlerësimin e Rrezikut Kombëtar të Pastrimit të Parave dhe Financimit të Terrorizmit </w:t>
            </w:r>
            <w:r w:rsidR="009914BC" w:rsidRPr="004402D6">
              <w:rPr>
                <w:lang w:val="sq-AL"/>
              </w:rPr>
              <w:t xml:space="preserve"> </w:t>
            </w:r>
          </w:p>
          <w:p w:rsidR="00741F17" w:rsidRPr="00741F17" w:rsidRDefault="00741F17" w:rsidP="00741F17">
            <w:pPr>
              <w:autoSpaceDE w:val="0"/>
              <w:autoSpaceDN w:val="0"/>
              <w:adjustRightInd w:val="0"/>
              <w:jc w:val="both"/>
              <w:rPr>
                <w:lang w:val="sq-AL"/>
              </w:rPr>
            </w:pPr>
          </w:p>
          <w:p w:rsidR="005F3C47" w:rsidRDefault="00741F17" w:rsidP="00352C59">
            <w:pPr>
              <w:jc w:val="both"/>
            </w:pPr>
            <w:r>
              <w:t xml:space="preserve">2. </w:t>
            </w:r>
            <w:r w:rsidR="00B23562" w:rsidRPr="004402D6">
              <w:t>Ky</w:t>
            </w:r>
            <w:r w:rsidR="009914BC" w:rsidRPr="004402D6">
              <w:t xml:space="preserve"> </w:t>
            </w:r>
            <w:r w:rsidR="001C4C11" w:rsidRPr="004402D6">
              <w:t>Udhëz</w:t>
            </w:r>
            <w:r w:rsidR="009914BC" w:rsidRPr="004402D6">
              <w:t>imi Administrativ hyn</w:t>
            </w:r>
            <w:r w:rsidR="001C4C11" w:rsidRPr="004402D6">
              <w:t xml:space="preserve"> </w:t>
            </w:r>
            <w:r w:rsidR="009A6D67" w:rsidRPr="004402D6">
              <w:t xml:space="preserve">ne fuqi 7 dite pas publikimit te saj. </w:t>
            </w:r>
            <w:r w:rsidR="001C4C11" w:rsidRPr="004402D6">
              <w:t>në fuqi</w:t>
            </w:r>
            <w:r w:rsidR="009914BC" w:rsidRPr="004402D6">
              <w:t xml:space="preserve"> shtatë (7) ditë pas</w:t>
            </w:r>
            <w:r>
              <w:t xml:space="preserve"> </w:t>
            </w:r>
            <w:r w:rsidR="009A6D67" w:rsidRPr="004402D6">
              <w:t xml:space="preserve">publikimit </w:t>
            </w:r>
            <w:r>
              <w:t xml:space="preserve">. </w:t>
            </w:r>
          </w:p>
          <w:p w:rsidR="00741F17" w:rsidRPr="004402D6" w:rsidRDefault="00741F17" w:rsidP="00352C59">
            <w:pPr>
              <w:jc w:val="both"/>
              <w:rPr>
                <w:rFonts w:eastAsia="Times New Roman"/>
                <w:lang w:val="en-GB"/>
              </w:rPr>
            </w:pPr>
          </w:p>
          <w:p w:rsidR="005F3C47" w:rsidRDefault="00741F17" w:rsidP="00B96A78">
            <w:r>
              <w:t xml:space="preserve">                                              </w:t>
            </w:r>
          </w:p>
          <w:p w:rsidR="00B96A78" w:rsidRPr="004402D6" w:rsidRDefault="00B96A78" w:rsidP="00B96A78">
            <w:pPr>
              <w:rPr>
                <w:rFonts w:eastAsia="Times New Roman"/>
              </w:rPr>
            </w:pPr>
          </w:p>
          <w:p w:rsidR="00721F3F" w:rsidRPr="004402D6" w:rsidRDefault="00721F3F" w:rsidP="008A4E80">
            <w:pPr>
              <w:jc w:val="both"/>
            </w:pPr>
          </w:p>
          <w:p w:rsidR="00B96A78" w:rsidRPr="000127F8" w:rsidRDefault="00B96A78" w:rsidP="00B96A78">
            <w:pPr>
              <w:autoSpaceDE w:val="0"/>
              <w:autoSpaceDN w:val="0"/>
              <w:adjustRightInd w:val="0"/>
              <w:jc w:val="right"/>
              <w:rPr>
                <w:rFonts w:eastAsia="Times New Roman"/>
              </w:rPr>
            </w:pPr>
            <w:r w:rsidRPr="000127F8">
              <w:rPr>
                <w:rFonts w:eastAsia="Times New Roman"/>
              </w:rPr>
              <w:t xml:space="preserve">                                                                                                                                                                                                      Bedri Hamza </w:t>
            </w:r>
          </w:p>
          <w:p w:rsidR="00B96A78" w:rsidRPr="000127F8" w:rsidRDefault="00B96A78" w:rsidP="00B96A78">
            <w:pPr>
              <w:autoSpaceDE w:val="0"/>
              <w:autoSpaceDN w:val="0"/>
              <w:adjustRightInd w:val="0"/>
              <w:jc w:val="right"/>
              <w:rPr>
                <w:rFonts w:eastAsia="Times New Roman"/>
              </w:rPr>
            </w:pPr>
          </w:p>
          <w:p w:rsidR="00B96A78" w:rsidRPr="000127F8" w:rsidRDefault="00B96A78" w:rsidP="00B96A78">
            <w:pPr>
              <w:autoSpaceDE w:val="0"/>
              <w:autoSpaceDN w:val="0"/>
              <w:adjustRightInd w:val="0"/>
              <w:jc w:val="right"/>
              <w:rPr>
                <w:rFonts w:eastAsia="Times New Roman"/>
              </w:rPr>
            </w:pPr>
            <w:r w:rsidRPr="000127F8">
              <w:rPr>
                <w:rFonts w:eastAsia="Times New Roman"/>
              </w:rPr>
              <w:t>__________________</w:t>
            </w:r>
          </w:p>
          <w:p w:rsidR="00B96A78" w:rsidRPr="000127F8" w:rsidRDefault="00B96A78" w:rsidP="00B96A78">
            <w:pPr>
              <w:autoSpaceDE w:val="0"/>
              <w:autoSpaceDN w:val="0"/>
              <w:adjustRightInd w:val="0"/>
              <w:jc w:val="right"/>
              <w:rPr>
                <w:rFonts w:eastAsia="Times New Roman"/>
              </w:rPr>
            </w:pPr>
            <w:r w:rsidRPr="000127F8">
              <w:rPr>
                <w:rFonts w:eastAsia="Times New Roman"/>
              </w:rPr>
              <w:t>Ministër i Financave</w:t>
            </w:r>
          </w:p>
          <w:p w:rsidR="00CA5B18" w:rsidRPr="004402D6" w:rsidRDefault="00B96A78" w:rsidP="00B96A78">
            <w:pPr>
              <w:ind w:left="72"/>
              <w:jc w:val="both"/>
            </w:pPr>
            <w:r w:rsidRPr="000127F8">
              <w:rPr>
                <w:rFonts w:eastAsia="Times New Roman"/>
              </w:rPr>
              <w:t xml:space="preserve">                    </w:t>
            </w:r>
            <w:r>
              <w:rPr>
                <w:rFonts w:eastAsia="Times New Roman"/>
              </w:rPr>
              <w:t xml:space="preserve">                Datë: ___/___/____</w:t>
            </w:r>
          </w:p>
          <w:p w:rsidR="0059401D" w:rsidRPr="004402D6" w:rsidRDefault="0059401D" w:rsidP="00FC40DD">
            <w:pPr>
              <w:keepNext/>
              <w:keepLines/>
              <w:spacing w:before="200"/>
              <w:ind w:left="72"/>
              <w:jc w:val="both"/>
              <w:outlineLvl w:val="2"/>
            </w:pPr>
          </w:p>
          <w:p w:rsidR="00BE1735" w:rsidRPr="005C5EE7" w:rsidRDefault="00BE1735" w:rsidP="005F3C47">
            <w:pPr>
              <w:keepNext/>
              <w:keepLines/>
              <w:spacing w:before="200"/>
              <w:outlineLvl w:val="2"/>
              <w:rPr>
                <w:lang w:val="sq-AL"/>
              </w:rPr>
            </w:pPr>
          </w:p>
        </w:tc>
        <w:tc>
          <w:tcPr>
            <w:tcW w:w="4661" w:type="dxa"/>
          </w:tcPr>
          <w:p w:rsidR="004402D6" w:rsidRPr="004402D6" w:rsidRDefault="004402D6" w:rsidP="004402D6">
            <w:pPr>
              <w:rPr>
                <w:rFonts w:eastAsia="Times New Roman"/>
              </w:rPr>
            </w:pPr>
            <w:r w:rsidRPr="001C4C11">
              <w:rPr>
                <w:rFonts w:eastAsia="Times New Roman"/>
              </w:rPr>
              <w:lastRenderedPageBreak/>
              <w:t>Minister of Finance</w:t>
            </w:r>
            <w:r>
              <w:rPr>
                <w:rFonts w:eastAsia="Times New Roman"/>
              </w:rPr>
              <w:t>,</w:t>
            </w:r>
          </w:p>
          <w:p w:rsidR="004402D6" w:rsidRDefault="004402D6" w:rsidP="00352C59">
            <w:pPr>
              <w:jc w:val="both"/>
            </w:pPr>
          </w:p>
          <w:p w:rsidR="00352C59" w:rsidRPr="005C5EE7" w:rsidRDefault="00352C59" w:rsidP="00352C59">
            <w:pPr>
              <w:jc w:val="both"/>
            </w:pPr>
            <w:r>
              <w:t>P</w:t>
            </w:r>
            <w:r w:rsidRPr="001C4C11">
              <w:t xml:space="preserve">ursuant to article 18 (paragraph 1) and 66 (paragraph 1) </w:t>
            </w:r>
            <w:r>
              <w:t>of</w:t>
            </w:r>
            <w:r w:rsidRPr="001C4C11">
              <w:t xml:space="preserve"> Law Nо. 05/L-096 on the Prevention of Money Laundering and Combating Terrorist Financing (Official Gazette of Republic of Kosovo No. 18, date 15 June 2016), issue</w:t>
            </w:r>
            <w:r>
              <w:t>s</w:t>
            </w:r>
            <w:r w:rsidRPr="001C4C11">
              <w:t xml:space="preserve">: </w:t>
            </w:r>
          </w:p>
          <w:p w:rsidR="00352C59" w:rsidRPr="004402D6" w:rsidRDefault="00352C59" w:rsidP="00352C59">
            <w:pPr>
              <w:keepNext/>
              <w:keepLines/>
              <w:spacing w:before="200"/>
              <w:jc w:val="both"/>
              <w:outlineLvl w:val="2"/>
              <w:rPr>
                <w:sz w:val="32"/>
                <w:szCs w:val="32"/>
              </w:rPr>
            </w:pPr>
          </w:p>
          <w:p w:rsidR="00352C59" w:rsidRDefault="00352C59" w:rsidP="004402D6">
            <w:pPr>
              <w:jc w:val="center"/>
              <w:rPr>
                <w:b/>
              </w:rPr>
            </w:pPr>
            <w:r w:rsidRPr="001C4C11">
              <w:rPr>
                <w:b/>
              </w:rPr>
              <w:t>ADMINISTRATIVE INSTRUCTION ON NATIONAL MONEY LAUNDERING AND TERRORIST FINANCING RISK ASSESSMENT</w:t>
            </w:r>
          </w:p>
          <w:p w:rsidR="004402D6" w:rsidRDefault="004402D6" w:rsidP="004402D6">
            <w:pPr>
              <w:jc w:val="center"/>
              <w:rPr>
                <w:b/>
              </w:rPr>
            </w:pPr>
          </w:p>
          <w:p w:rsidR="004402D6" w:rsidRPr="004402D6" w:rsidRDefault="004402D6" w:rsidP="004402D6">
            <w:pPr>
              <w:jc w:val="center"/>
              <w:rPr>
                <w:b/>
              </w:rPr>
            </w:pPr>
          </w:p>
          <w:p w:rsidR="00352C59" w:rsidRPr="005C5EE7" w:rsidRDefault="00352C59" w:rsidP="00352C59">
            <w:pPr>
              <w:jc w:val="center"/>
              <w:rPr>
                <w:b/>
              </w:rPr>
            </w:pPr>
            <w:r w:rsidRPr="001C4C11">
              <w:rPr>
                <w:b/>
              </w:rPr>
              <w:t>Article 1</w:t>
            </w:r>
          </w:p>
          <w:p w:rsidR="00352C59" w:rsidRDefault="00352C59" w:rsidP="004402D6">
            <w:pPr>
              <w:jc w:val="center"/>
              <w:rPr>
                <w:b/>
              </w:rPr>
            </w:pPr>
            <w:proofErr w:type="spellStart"/>
            <w:r>
              <w:rPr>
                <w:b/>
                <w:lang w:val="sq-AL"/>
              </w:rPr>
              <w:t>Purpose</w:t>
            </w:r>
            <w:proofErr w:type="spellEnd"/>
            <w:r>
              <w:rPr>
                <w:b/>
                <w:lang w:val="sq-AL"/>
              </w:rPr>
              <w:t xml:space="preserve">   </w:t>
            </w:r>
          </w:p>
          <w:p w:rsidR="004402D6" w:rsidRPr="005C5EE7" w:rsidRDefault="004402D6" w:rsidP="004402D6">
            <w:pPr>
              <w:jc w:val="center"/>
              <w:rPr>
                <w:b/>
              </w:rPr>
            </w:pPr>
          </w:p>
          <w:p w:rsidR="00352C59" w:rsidRDefault="00352C59" w:rsidP="004402D6">
            <w:pPr>
              <w:jc w:val="both"/>
              <w:rPr>
                <w:lang w:val="sq-AL"/>
              </w:rPr>
            </w:pPr>
            <w:r>
              <w:rPr>
                <w:lang w:val="sq-AL"/>
              </w:rPr>
              <w:t xml:space="preserve">1. The </w:t>
            </w:r>
            <w:proofErr w:type="spellStart"/>
            <w:r>
              <w:rPr>
                <w:lang w:val="sq-AL"/>
              </w:rPr>
              <w:t>purpose</w:t>
            </w:r>
            <w:proofErr w:type="spellEnd"/>
            <w:r>
              <w:rPr>
                <w:lang w:val="sq-AL"/>
              </w:rPr>
              <w:t xml:space="preserve">  </w:t>
            </w:r>
            <w:proofErr w:type="spellStart"/>
            <w:r>
              <w:rPr>
                <w:lang w:val="sq-AL"/>
              </w:rPr>
              <w:t>of</w:t>
            </w:r>
            <w:proofErr w:type="spellEnd"/>
            <w:r>
              <w:rPr>
                <w:lang w:val="sq-AL"/>
              </w:rPr>
              <w:t xml:space="preserve"> </w:t>
            </w:r>
            <w:proofErr w:type="spellStart"/>
            <w:r>
              <w:rPr>
                <w:lang w:val="sq-AL"/>
              </w:rPr>
              <w:t>this</w:t>
            </w:r>
            <w:proofErr w:type="spellEnd"/>
            <w:r>
              <w:rPr>
                <w:lang w:val="sq-AL"/>
              </w:rPr>
              <w:t xml:space="preserve"> Administrative </w:t>
            </w:r>
            <w:proofErr w:type="spellStart"/>
            <w:r>
              <w:rPr>
                <w:lang w:val="sq-AL"/>
              </w:rPr>
              <w:t>Instruction</w:t>
            </w:r>
            <w:proofErr w:type="spellEnd"/>
            <w:r>
              <w:rPr>
                <w:lang w:val="sq-AL"/>
              </w:rPr>
              <w:t xml:space="preserve"> </w:t>
            </w:r>
            <w:proofErr w:type="spellStart"/>
            <w:r>
              <w:rPr>
                <w:lang w:val="sq-AL"/>
              </w:rPr>
              <w:t>is</w:t>
            </w:r>
            <w:proofErr w:type="spellEnd"/>
            <w:r>
              <w:rPr>
                <w:lang w:val="sq-AL"/>
              </w:rPr>
              <w:t xml:space="preserve">  </w:t>
            </w:r>
            <w:r w:rsidRPr="001C4C11">
              <w:t>in accordance with the</w:t>
            </w:r>
            <w:r>
              <w:t xml:space="preserve"> Article 18 ( paragraph 1) and Article 66 ( Paragraph 1) of the Law no; 05/L-096 on Prevention of Money Laundering  and Fighting the Terrosism Financing and </w:t>
            </w:r>
            <w:r w:rsidRPr="001C4C11">
              <w:t xml:space="preserve"> FATF Recommendation 1 and other relevant international standards,</w:t>
            </w:r>
            <w:r>
              <w:t xml:space="preserve"> to regulate and determine standard procedures for </w:t>
            </w:r>
            <w:r w:rsidRPr="001C4C11">
              <w:t xml:space="preserve"> </w:t>
            </w:r>
            <w:r>
              <w:rPr>
                <w:lang w:val="sq-AL"/>
              </w:rPr>
              <w:t xml:space="preserve">an </w:t>
            </w:r>
            <w:proofErr w:type="spellStart"/>
            <w:r>
              <w:rPr>
                <w:lang w:val="sq-AL"/>
              </w:rPr>
              <w:t>overall</w:t>
            </w:r>
            <w:proofErr w:type="spellEnd"/>
            <w:r>
              <w:rPr>
                <w:lang w:val="sq-AL"/>
              </w:rPr>
              <w:t xml:space="preserve"> </w:t>
            </w:r>
            <w:proofErr w:type="spellStart"/>
            <w:r>
              <w:rPr>
                <w:lang w:val="sq-AL"/>
              </w:rPr>
              <w:t>process</w:t>
            </w:r>
            <w:proofErr w:type="spellEnd"/>
            <w:r>
              <w:rPr>
                <w:lang w:val="sq-AL"/>
              </w:rPr>
              <w:t xml:space="preserve"> </w:t>
            </w:r>
            <w:proofErr w:type="spellStart"/>
            <w:r>
              <w:rPr>
                <w:lang w:val="sq-AL"/>
              </w:rPr>
              <w:t>for</w:t>
            </w:r>
            <w:proofErr w:type="spellEnd"/>
            <w:r>
              <w:rPr>
                <w:lang w:val="sq-AL"/>
              </w:rPr>
              <w:t xml:space="preserve"> a </w:t>
            </w:r>
            <w:proofErr w:type="spellStart"/>
            <w:r>
              <w:rPr>
                <w:lang w:val="sq-AL"/>
              </w:rPr>
              <w:t>national</w:t>
            </w:r>
            <w:proofErr w:type="spellEnd"/>
            <w:r>
              <w:rPr>
                <w:lang w:val="sq-AL"/>
              </w:rPr>
              <w:t xml:space="preserve"> risk </w:t>
            </w:r>
            <w:proofErr w:type="spellStart"/>
            <w:r>
              <w:rPr>
                <w:lang w:val="sq-AL"/>
              </w:rPr>
              <w:t>assessment</w:t>
            </w:r>
            <w:proofErr w:type="spellEnd"/>
            <w:r>
              <w:rPr>
                <w:lang w:val="sq-AL"/>
              </w:rPr>
              <w:t xml:space="preserve"> </w:t>
            </w:r>
            <w:proofErr w:type="spellStart"/>
            <w:r>
              <w:rPr>
                <w:lang w:val="sq-AL"/>
              </w:rPr>
              <w:t>on</w:t>
            </w:r>
            <w:proofErr w:type="spellEnd"/>
            <w:r>
              <w:rPr>
                <w:lang w:val="sq-AL"/>
              </w:rPr>
              <w:t xml:space="preserve"> </w:t>
            </w:r>
            <w:proofErr w:type="spellStart"/>
            <w:r>
              <w:rPr>
                <w:lang w:val="sq-AL"/>
              </w:rPr>
              <w:t>money</w:t>
            </w:r>
            <w:proofErr w:type="spellEnd"/>
            <w:r>
              <w:rPr>
                <w:lang w:val="sq-AL"/>
              </w:rPr>
              <w:t xml:space="preserve"> </w:t>
            </w:r>
            <w:proofErr w:type="spellStart"/>
            <w:r>
              <w:rPr>
                <w:lang w:val="sq-AL"/>
              </w:rPr>
              <w:t>laundering</w:t>
            </w:r>
            <w:proofErr w:type="spellEnd"/>
            <w:r>
              <w:rPr>
                <w:lang w:val="sq-AL"/>
              </w:rPr>
              <w:t xml:space="preserve">, terrorist </w:t>
            </w:r>
            <w:proofErr w:type="spellStart"/>
            <w:r>
              <w:rPr>
                <w:lang w:val="sq-AL"/>
              </w:rPr>
              <w:t>financing</w:t>
            </w:r>
            <w:proofErr w:type="spellEnd"/>
            <w:r>
              <w:rPr>
                <w:lang w:val="sq-AL"/>
              </w:rPr>
              <w:t xml:space="preserve"> </w:t>
            </w:r>
            <w:proofErr w:type="spellStart"/>
            <w:r>
              <w:rPr>
                <w:lang w:val="sq-AL"/>
              </w:rPr>
              <w:t>and</w:t>
            </w:r>
            <w:proofErr w:type="spellEnd"/>
            <w:r>
              <w:rPr>
                <w:lang w:val="sq-AL"/>
              </w:rPr>
              <w:t xml:space="preserve"> </w:t>
            </w:r>
            <w:proofErr w:type="spellStart"/>
            <w:r>
              <w:rPr>
                <w:lang w:val="sq-AL"/>
              </w:rPr>
              <w:t>informal</w:t>
            </w:r>
            <w:proofErr w:type="spellEnd"/>
            <w:r>
              <w:rPr>
                <w:lang w:val="sq-AL"/>
              </w:rPr>
              <w:t xml:space="preserve"> </w:t>
            </w:r>
            <w:proofErr w:type="spellStart"/>
            <w:r>
              <w:rPr>
                <w:lang w:val="sq-AL"/>
              </w:rPr>
              <w:t>economy</w:t>
            </w:r>
            <w:proofErr w:type="spellEnd"/>
            <w:r>
              <w:rPr>
                <w:lang w:val="sq-AL"/>
              </w:rPr>
              <w:t xml:space="preserve"> </w:t>
            </w:r>
            <w:proofErr w:type="spellStart"/>
            <w:r>
              <w:rPr>
                <w:lang w:val="sq-AL"/>
              </w:rPr>
              <w:t>including</w:t>
            </w:r>
            <w:proofErr w:type="spellEnd"/>
            <w:r>
              <w:rPr>
                <w:lang w:val="sq-AL"/>
              </w:rPr>
              <w:t xml:space="preserve"> </w:t>
            </w:r>
            <w:proofErr w:type="spellStart"/>
            <w:r>
              <w:rPr>
                <w:lang w:val="sq-AL"/>
              </w:rPr>
              <w:t>identification</w:t>
            </w:r>
            <w:proofErr w:type="spellEnd"/>
            <w:r>
              <w:rPr>
                <w:lang w:val="sq-AL"/>
              </w:rPr>
              <w:t xml:space="preserve">, </w:t>
            </w:r>
            <w:proofErr w:type="spellStart"/>
            <w:r>
              <w:rPr>
                <w:lang w:val="sq-AL"/>
              </w:rPr>
              <w:t>analysis</w:t>
            </w:r>
            <w:proofErr w:type="spellEnd"/>
            <w:r>
              <w:rPr>
                <w:lang w:val="sq-AL"/>
              </w:rPr>
              <w:t xml:space="preserve"> </w:t>
            </w:r>
            <w:proofErr w:type="spellStart"/>
            <w:r>
              <w:rPr>
                <w:lang w:val="sq-AL"/>
              </w:rPr>
              <w:t>and</w:t>
            </w:r>
            <w:proofErr w:type="spellEnd"/>
            <w:r>
              <w:rPr>
                <w:lang w:val="sq-AL"/>
              </w:rPr>
              <w:t xml:space="preserve"> </w:t>
            </w:r>
            <w:proofErr w:type="spellStart"/>
            <w:r>
              <w:rPr>
                <w:lang w:val="sq-AL"/>
              </w:rPr>
              <w:t>evaluation</w:t>
            </w:r>
            <w:proofErr w:type="spellEnd"/>
            <w:r>
              <w:rPr>
                <w:lang w:val="sq-AL"/>
              </w:rPr>
              <w:t xml:space="preserve"> </w:t>
            </w:r>
            <w:proofErr w:type="spellStart"/>
            <w:r>
              <w:rPr>
                <w:lang w:val="sq-AL"/>
              </w:rPr>
              <w:t>of</w:t>
            </w:r>
            <w:proofErr w:type="spellEnd"/>
            <w:r>
              <w:rPr>
                <w:lang w:val="sq-AL"/>
              </w:rPr>
              <w:t xml:space="preserve"> </w:t>
            </w:r>
            <w:proofErr w:type="spellStart"/>
            <w:r>
              <w:rPr>
                <w:lang w:val="sq-AL"/>
              </w:rPr>
              <w:t>risks</w:t>
            </w:r>
            <w:proofErr w:type="spellEnd"/>
            <w:r>
              <w:rPr>
                <w:lang w:val="sq-AL"/>
              </w:rPr>
              <w:t xml:space="preserve"> </w:t>
            </w:r>
            <w:proofErr w:type="spellStart"/>
            <w:r>
              <w:rPr>
                <w:lang w:val="sq-AL"/>
              </w:rPr>
              <w:t>and</w:t>
            </w:r>
            <w:proofErr w:type="spellEnd"/>
            <w:r>
              <w:rPr>
                <w:lang w:val="sq-AL"/>
              </w:rPr>
              <w:t xml:space="preserve"> </w:t>
            </w:r>
            <w:proofErr w:type="spellStart"/>
            <w:r>
              <w:rPr>
                <w:lang w:val="sq-AL"/>
              </w:rPr>
              <w:t>vulnerabilities</w:t>
            </w:r>
            <w:proofErr w:type="spellEnd"/>
            <w:r>
              <w:rPr>
                <w:lang w:val="sq-AL"/>
              </w:rPr>
              <w:t>.</w:t>
            </w:r>
          </w:p>
          <w:p w:rsidR="004402D6" w:rsidRPr="004402D6" w:rsidRDefault="004402D6" w:rsidP="004402D6">
            <w:pPr>
              <w:jc w:val="both"/>
              <w:rPr>
                <w:lang w:val="sq-AL"/>
              </w:rPr>
            </w:pPr>
          </w:p>
          <w:p w:rsidR="00352C59" w:rsidRPr="005C5EE7" w:rsidRDefault="00352C59" w:rsidP="00352C59">
            <w:pPr>
              <w:jc w:val="both"/>
            </w:pPr>
            <w:r w:rsidRPr="001C4C11">
              <w:t xml:space="preserve">2. This </w:t>
            </w:r>
            <w:r>
              <w:rPr>
                <w:lang w:val="sq-AL"/>
              </w:rPr>
              <w:t xml:space="preserve">Administrative </w:t>
            </w:r>
            <w:proofErr w:type="spellStart"/>
            <w:r>
              <w:rPr>
                <w:lang w:val="sq-AL"/>
              </w:rPr>
              <w:t>Instruction</w:t>
            </w:r>
            <w:proofErr w:type="spellEnd"/>
            <w:r>
              <w:rPr>
                <w:lang w:val="sq-AL"/>
              </w:rPr>
              <w:t xml:space="preserve"> </w:t>
            </w:r>
            <w:proofErr w:type="spellStart"/>
            <w:r>
              <w:rPr>
                <w:lang w:val="sq-AL"/>
              </w:rPr>
              <w:t>aims</w:t>
            </w:r>
            <w:proofErr w:type="spellEnd"/>
            <w:r>
              <w:rPr>
                <w:lang w:val="sq-AL"/>
              </w:rPr>
              <w:t xml:space="preserve"> at </w:t>
            </w:r>
            <w:proofErr w:type="spellStart"/>
            <w:r>
              <w:rPr>
                <w:lang w:val="sq-AL"/>
              </w:rPr>
              <w:t>guiding</w:t>
            </w:r>
            <w:proofErr w:type="spellEnd"/>
            <w:r>
              <w:rPr>
                <w:lang w:val="sq-AL"/>
              </w:rPr>
              <w:t xml:space="preserve"> </w:t>
            </w:r>
            <w:r w:rsidRPr="001C4C11">
              <w:t xml:space="preserve">the establishment of policies, </w:t>
            </w:r>
            <w:r w:rsidRPr="001C4C11">
              <w:lastRenderedPageBreak/>
              <w:t xml:space="preserve">strategies and other relevantrisk management procedures of the Government of the Republic of Kosovo and </w:t>
            </w:r>
            <w:r>
              <w:t xml:space="preserve">other </w:t>
            </w:r>
            <w:r w:rsidRPr="001C4C11">
              <w:t>relevant institutions in Kosovo. It will guide them in directing and controlling their activities for the prevention of money laundering, terrorist financing and informal economy.</w:t>
            </w:r>
            <w:r>
              <w:t xml:space="preserve"> Regarding specific sectorial risk assessments based on risk approach within sectors this will be elaborated in documents and other sub-legal acts.</w:t>
            </w:r>
          </w:p>
          <w:p w:rsidR="00352C59" w:rsidRPr="005C5EE7" w:rsidRDefault="00352C59" w:rsidP="00352C59">
            <w:pPr>
              <w:keepNext/>
              <w:keepLines/>
              <w:spacing w:before="200"/>
              <w:jc w:val="both"/>
              <w:outlineLvl w:val="2"/>
            </w:pPr>
          </w:p>
          <w:p w:rsidR="004402D6" w:rsidRPr="005C5EE7" w:rsidRDefault="004402D6" w:rsidP="00352C59">
            <w:pPr>
              <w:keepNext/>
              <w:keepLines/>
              <w:spacing w:before="200"/>
              <w:jc w:val="both"/>
              <w:outlineLvl w:val="2"/>
            </w:pPr>
          </w:p>
          <w:p w:rsidR="00352C59" w:rsidRDefault="00352C59" w:rsidP="004402D6">
            <w:pPr>
              <w:jc w:val="center"/>
              <w:rPr>
                <w:b/>
              </w:rPr>
            </w:pPr>
            <w:r w:rsidRPr="001C4C11">
              <w:rPr>
                <w:b/>
              </w:rPr>
              <w:t>Article 2</w:t>
            </w:r>
          </w:p>
          <w:p w:rsidR="00352C59" w:rsidRPr="005C5EE7" w:rsidRDefault="00352C59" w:rsidP="00352C59">
            <w:pPr>
              <w:jc w:val="center"/>
              <w:rPr>
                <w:b/>
              </w:rPr>
            </w:pPr>
            <w:r>
              <w:rPr>
                <w:b/>
              </w:rPr>
              <w:t xml:space="preserve">Scope of Work </w:t>
            </w:r>
          </w:p>
          <w:p w:rsidR="00352C59" w:rsidRPr="005C5EE7" w:rsidRDefault="00352C59" w:rsidP="00352C59">
            <w:pPr>
              <w:jc w:val="both"/>
            </w:pPr>
          </w:p>
          <w:p w:rsidR="00352C59" w:rsidRPr="005C5EE7" w:rsidRDefault="00352C59" w:rsidP="00352C59">
            <w:pPr>
              <w:jc w:val="both"/>
            </w:pPr>
            <w:r w:rsidRPr="00BF2B7F">
              <w:t>The provisions of this Instruction are implemented by all public institutions and institutions designated as Reporting Entities under Law no. 05 / L-096 on the Prevention o</w:t>
            </w:r>
            <w:r>
              <w:t xml:space="preserve">f Money Laundering and Fighting </w:t>
            </w:r>
            <w:r w:rsidRPr="00BF2B7F">
              <w:t xml:space="preserve"> Terrorism Financing in order to assist in the design and implementation of risk-based approach to PPP / CFT compliance obligations / functions .</w:t>
            </w:r>
          </w:p>
          <w:p w:rsidR="00352C59" w:rsidRDefault="00352C59" w:rsidP="00352C59">
            <w:pPr>
              <w:jc w:val="center"/>
              <w:rPr>
                <w:b/>
              </w:rPr>
            </w:pPr>
          </w:p>
          <w:p w:rsidR="004402D6" w:rsidRDefault="004402D6" w:rsidP="00352C59">
            <w:pPr>
              <w:jc w:val="center"/>
              <w:rPr>
                <w:b/>
              </w:rPr>
            </w:pPr>
          </w:p>
          <w:p w:rsidR="004402D6" w:rsidRDefault="004402D6" w:rsidP="00352C59">
            <w:pPr>
              <w:jc w:val="center"/>
              <w:rPr>
                <w:b/>
              </w:rPr>
            </w:pPr>
          </w:p>
          <w:p w:rsidR="00352C59" w:rsidRPr="005C5EE7" w:rsidRDefault="00352C59" w:rsidP="00352C59">
            <w:pPr>
              <w:jc w:val="center"/>
              <w:rPr>
                <w:b/>
              </w:rPr>
            </w:pPr>
            <w:r w:rsidRPr="001C4C11">
              <w:rPr>
                <w:b/>
              </w:rPr>
              <w:t>Article 3</w:t>
            </w:r>
          </w:p>
          <w:p w:rsidR="00352C59" w:rsidRDefault="00352C59" w:rsidP="00352C59">
            <w:pPr>
              <w:jc w:val="center"/>
              <w:rPr>
                <w:b/>
              </w:rPr>
            </w:pPr>
            <w:r w:rsidRPr="001C4C11">
              <w:rPr>
                <w:b/>
              </w:rPr>
              <w:t>Definitions</w:t>
            </w:r>
          </w:p>
          <w:p w:rsidR="00352C59" w:rsidRPr="00A1433A" w:rsidRDefault="00352C59" w:rsidP="00352C59">
            <w:pPr>
              <w:jc w:val="center"/>
              <w:rPr>
                <w:b/>
                <w:sz w:val="32"/>
              </w:rPr>
            </w:pPr>
          </w:p>
          <w:p w:rsidR="00352C59" w:rsidRPr="00352C59" w:rsidRDefault="00352C59" w:rsidP="004402D6">
            <w:pPr>
              <w:jc w:val="both"/>
            </w:pPr>
            <w:r w:rsidRPr="00BF2B7F">
              <w:t xml:space="preserve">1. For the purposes </w:t>
            </w:r>
            <w:r w:rsidRPr="00352C59">
              <w:t>of this Administrative Instruction, the following definitions shall have the following meaning:</w:t>
            </w:r>
          </w:p>
          <w:p w:rsidR="00352C59" w:rsidRDefault="00352C59" w:rsidP="00352C59"/>
          <w:p w:rsidR="00352C59" w:rsidRPr="00BF2B7F" w:rsidRDefault="00352C59" w:rsidP="00352C59"/>
          <w:p w:rsidR="00352C59" w:rsidRDefault="00352C59" w:rsidP="004402D6">
            <w:pPr>
              <w:ind w:left="288"/>
              <w:jc w:val="both"/>
            </w:pPr>
            <w:r w:rsidRPr="001C4C11">
              <w:lastRenderedPageBreak/>
              <w:t xml:space="preserve">1.1 </w:t>
            </w:r>
            <w:r w:rsidRPr="004402D6">
              <w:rPr>
                <w:b/>
              </w:rPr>
              <w:t>A Risk Assessment</w:t>
            </w:r>
            <w:r w:rsidRPr="001C4C11">
              <w:t xml:space="preserve"> is an overall process of identification, analysis and evaluation of risks and vulnerabilities.</w:t>
            </w:r>
          </w:p>
          <w:p w:rsidR="004402D6" w:rsidRPr="005C5EE7" w:rsidRDefault="004402D6" w:rsidP="004402D6">
            <w:pPr>
              <w:ind w:left="288"/>
              <w:jc w:val="both"/>
            </w:pPr>
          </w:p>
          <w:p w:rsidR="00352C59" w:rsidRDefault="00352C59" w:rsidP="004402D6">
            <w:pPr>
              <w:ind w:left="288"/>
              <w:jc w:val="both"/>
            </w:pPr>
            <w:r w:rsidRPr="001C4C11">
              <w:t>1.</w:t>
            </w:r>
            <w:r w:rsidRPr="004402D6">
              <w:rPr>
                <w:b/>
              </w:rPr>
              <w:t>2 Risk Management</w:t>
            </w:r>
            <w:r w:rsidRPr="001C4C11">
              <w:t xml:space="preserve"> </w:t>
            </w:r>
            <w:r>
              <w:t xml:space="preserve">includes </w:t>
            </w:r>
            <w:r w:rsidRPr="001C4C11">
              <w:t xml:space="preserve"> policies, strategies and other coordinated risk related activities to direct and control an organization.</w:t>
            </w:r>
          </w:p>
          <w:p w:rsidR="004402D6" w:rsidRDefault="004402D6" w:rsidP="004402D6">
            <w:pPr>
              <w:ind w:left="288"/>
              <w:jc w:val="both"/>
            </w:pPr>
          </w:p>
          <w:p w:rsidR="004402D6" w:rsidRPr="005C5EE7" w:rsidRDefault="004402D6" w:rsidP="004402D6">
            <w:pPr>
              <w:ind w:left="288"/>
              <w:jc w:val="both"/>
            </w:pPr>
          </w:p>
          <w:p w:rsidR="00352C59" w:rsidRDefault="00352C59" w:rsidP="004402D6">
            <w:pPr>
              <w:ind w:left="288"/>
              <w:jc w:val="both"/>
            </w:pPr>
            <w:r w:rsidRPr="001C4C11">
              <w:t xml:space="preserve">1.3 </w:t>
            </w:r>
            <w:r w:rsidRPr="004402D6">
              <w:rPr>
                <w:b/>
              </w:rPr>
              <w:t>Money laundering</w:t>
            </w:r>
            <w:r w:rsidRPr="001C4C11">
              <w:t xml:space="preserve"> means an act defined </w:t>
            </w:r>
            <w:r>
              <w:t xml:space="preserve">in </w:t>
            </w:r>
            <w:r w:rsidRPr="001C4C11">
              <w:t>Kosovo Law Nо. 05/L-096 on the Prevention of Money Laundering and Combating Terrorist Financing</w:t>
            </w:r>
            <w:r w:rsidR="004402D6">
              <w:t>.</w:t>
            </w:r>
          </w:p>
          <w:p w:rsidR="004402D6" w:rsidRDefault="004402D6" w:rsidP="004402D6">
            <w:pPr>
              <w:ind w:left="288"/>
              <w:jc w:val="both"/>
            </w:pPr>
          </w:p>
          <w:p w:rsidR="004402D6" w:rsidRPr="005C5EE7" w:rsidRDefault="004402D6" w:rsidP="004402D6">
            <w:pPr>
              <w:ind w:left="288"/>
              <w:jc w:val="both"/>
            </w:pPr>
          </w:p>
          <w:p w:rsidR="00352C59" w:rsidRDefault="00352C59" w:rsidP="004402D6">
            <w:pPr>
              <w:ind w:left="288"/>
              <w:jc w:val="both"/>
            </w:pPr>
            <w:r w:rsidRPr="005C5EE7">
              <w:t xml:space="preserve">1.4 </w:t>
            </w:r>
            <w:r w:rsidRPr="004402D6">
              <w:rPr>
                <w:b/>
              </w:rPr>
              <w:t>Terrorist Financing</w:t>
            </w:r>
            <w:r w:rsidRPr="005C5EE7">
              <w:t xml:space="preserve"> means an act defined in Kosovo Law </w:t>
            </w:r>
            <w:r w:rsidRPr="001C4C11">
              <w:t xml:space="preserve">Nо. 05/L-096 on the Prevention of Money Laundering and Combating Terrorist Financing </w:t>
            </w:r>
            <w:r w:rsidR="004402D6">
              <w:t>.</w:t>
            </w:r>
          </w:p>
          <w:p w:rsidR="004402D6" w:rsidRDefault="004402D6" w:rsidP="004402D6">
            <w:pPr>
              <w:ind w:left="288"/>
              <w:jc w:val="both"/>
            </w:pPr>
          </w:p>
          <w:p w:rsidR="004402D6" w:rsidRPr="005C5EE7" w:rsidRDefault="004402D6" w:rsidP="004402D6">
            <w:pPr>
              <w:ind w:left="288"/>
              <w:jc w:val="both"/>
            </w:pPr>
          </w:p>
          <w:p w:rsidR="00352C59" w:rsidRDefault="004402D6" w:rsidP="004402D6">
            <w:pPr>
              <w:ind w:left="288"/>
              <w:jc w:val="both"/>
            </w:pPr>
            <w:r>
              <w:t xml:space="preserve">1.5. </w:t>
            </w:r>
            <w:r w:rsidR="00352C59" w:rsidRPr="004402D6">
              <w:rPr>
                <w:b/>
              </w:rPr>
              <w:t>Informal Economy</w:t>
            </w:r>
            <w:r w:rsidR="00352C59" w:rsidRPr="001C4C11">
              <w:t xml:space="preserve"> consists of grey and black economy. Grey economy includes legitimate activities that are deliberately hidden inorder to avoid taxation, compliance with regulations and/or social security contributions as well as proceeds of tax fraud and smuggling of legitimate goods and black economy includes benefits and proceeds of the criminal activities.</w:t>
            </w:r>
          </w:p>
          <w:p w:rsidR="004402D6" w:rsidRDefault="004402D6" w:rsidP="004402D6">
            <w:pPr>
              <w:keepNext/>
              <w:keepLines/>
              <w:jc w:val="both"/>
              <w:outlineLvl w:val="2"/>
              <w:rPr>
                <w:rFonts w:ascii="Calibri" w:eastAsia="Calibri" w:hAnsi="Calibri"/>
                <w:sz w:val="22"/>
                <w:szCs w:val="22"/>
              </w:rPr>
            </w:pPr>
          </w:p>
          <w:p w:rsidR="004402D6" w:rsidRDefault="004402D6" w:rsidP="004402D6">
            <w:pPr>
              <w:keepNext/>
              <w:keepLines/>
              <w:spacing w:line="120" w:lineRule="auto"/>
              <w:jc w:val="both"/>
              <w:outlineLvl w:val="2"/>
              <w:rPr>
                <w:rFonts w:ascii="Calibri" w:eastAsia="Calibri" w:hAnsi="Calibri"/>
                <w:sz w:val="22"/>
                <w:szCs w:val="22"/>
              </w:rPr>
            </w:pPr>
          </w:p>
          <w:p w:rsidR="00A1433A" w:rsidRDefault="00A1433A" w:rsidP="004402D6">
            <w:pPr>
              <w:jc w:val="center"/>
              <w:rPr>
                <w:b/>
              </w:rPr>
            </w:pPr>
          </w:p>
          <w:p w:rsidR="00A1433A" w:rsidRDefault="00A1433A" w:rsidP="004402D6">
            <w:pPr>
              <w:jc w:val="center"/>
              <w:rPr>
                <w:b/>
              </w:rPr>
            </w:pPr>
          </w:p>
          <w:p w:rsidR="00A1433A" w:rsidRDefault="00A1433A" w:rsidP="004402D6">
            <w:pPr>
              <w:jc w:val="center"/>
              <w:rPr>
                <w:b/>
              </w:rPr>
            </w:pPr>
            <w:r>
              <w:rPr>
                <w:b/>
              </w:rPr>
              <w:lastRenderedPageBreak/>
              <w:t>Article 4</w:t>
            </w:r>
          </w:p>
          <w:p w:rsidR="00352C59" w:rsidRDefault="00352C59" w:rsidP="004402D6">
            <w:pPr>
              <w:jc w:val="center"/>
              <w:rPr>
                <w:b/>
              </w:rPr>
            </w:pPr>
            <w:r w:rsidRPr="001C4C11">
              <w:rPr>
                <w:b/>
              </w:rPr>
              <w:t>Organization of the national risk assessment process</w:t>
            </w:r>
          </w:p>
          <w:p w:rsidR="004402D6" w:rsidRPr="004402D6" w:rsidRDefault="004402D6" w:rsidP="00A1433A">
            <w:pPr>
              <w:rPr>
                <w:b/>
              </w:rPr>
            </w:pPr>
          </w:p>
          <w:p w:rsidR="00352C59" w:rsidRPr="004402D6" w:rsidRDefault="004402D6" w:rsidP="004402D6">
            <w:pPr>
              <w:jc w:val="both"/>
            </w:pPr>
            <w:r>
              <w:t xml:space="preserve">1. </w:t>
            </w:r>
            <w:r w:rsidR="00352C59" w:rsidRPr="004402D6">
              <w:t>The Ministry of Finance  decides  on initiation of the national risk assessment as well as criteria against which risks are evaluated. The Ministry of Finance offers  high-level political support and resources needed for the work.  The national risk assessment shall be undertaken at least every three (3) years, but Ministry of Finance may initiate the assesment more often, if it is considered as neccessary with regards to the national risk assessment process</w:t>
            </w:r>
          </w:p>
          <w:p w:rsidR="00352C59" w:rsidRPr="00A1433A" w:rsidRDefault="00352C59" w:rsidP="00A1433A">
            <w:pPr>
              <w:keepNext/>
              <w:keepLines/>
              <w:spacing w:before="200"/>
              <w:jc w:val="both"/>
              <w:outlineLvl w:val="2"/>
              <w:rPr>
                <w:strike/>
              </w:rPr>
            </w:pPr>
          </w:p>
          <w:p w:rsidR="00352C59" w:rsidRPr="004402D6" w:rsidRDefault="004402D6" w:rsidP="004402D6">
            <w:pPr>
              <w:jc w:val="both"/>
            </w:pPr>
            <w:r>
              <w:t xml:space="preserve">2. </w:t>
            </w:r>
            <w:r w:rsidR="00352C59" w:rsidRPr="004402D6">
              <w:t xml:space="preserve">FIU-K shall co-ordinate a national risk assessment process. and establish  the working groups including representativesfrom private sector and public institutions to assist collecting the quantitative and qualitative information needed to identify the risks. FIU-K may invite other relevant private institutions and other actors to take part in national assessment process for PPP-CFT , if considered neccessary. </w:t>
            </w:r>
          </w:p>
          <w:p w:rsidR="00352C59" w:rsidRDefault="00352C59" w:rsidP="00352C59">
            <w:pPr>
              <w:jc w:val="both"/>
            </w:pPr>
            <w:r w:rsidRPr="008367E7">
              <w:t xml:space="preserve">All public institutions and institutions defined as Reporting </w:t>
            </w:r>
            <w:r>
              <w:t>s</w:t>
            </w:r>
            <w:r w:rsidRPr="008367E7">
              <w:t>ubjects in the Law on Prevention of Money Laundering and Terrorist Financing Prevention are obliged to support the FIU</w:t>
            </w:r>
            <w:r>
              <w:t>-</w:t>
            </w:r>
            <w:r w:rsidRPr="008367E7">
              <w:t xml:space="preserve">K in the risk assessment process.  </w:t>
            </w:r>
          </w:p>
          <w:p w:rsidR="00116DCE" w:rsidRDefault="00116DCE" w:rsidP="00352C59">
            <w:pPr>
              <w:jc w:val="both"/>
            </w:pPr>
          </w:p>
          <w:p w:rsidR="00A1433A" w:rsidRPr="00A1433A" w:rsidRDefault="00A1433A" w:rsidP="00A1433A">
            <w:pPr>
              <w:keepNext/>
              <w:keepLines/>
              <w:spacing w:before="100" w:beforeAutospacing="1"/>
              <w:jc w:val="both"/>
              <w:outlineLvl w:val="2"/>
              <w:rPr>
                <w:sz w:val="16"/>
              </w:rPr>
            </w:pPr>
          </w:p>
          <w:p w:rsidR="00A1433A" w:rsidRPr="00116DCE" w:rsidRDefault="00A1433A" w:rsidP="00A1433A">
            <w:pPr>
              <w:keepNext/>
              <w:keepLines/>
              <w:jc w:val="both"/>
              <w:outlineLvl w:val="2"/>
              <w:rPr>
                <w:sz w:val="16"/>
                <w:szCs w:val="16"/>
              </w:rPr>
            </w:pPr>
          </w:p>
          <w:p w:rsidR="00352C59" w:rsidRPr="005C5EE7" w:rsidRDefault="00352C59" w:rsidP="00352C59">
            <w:pPr>
              <w:jc w:val="center"/>
              <w:rPr>
                <w:b/>
              </w:rPr>
            </w:pPr>
            <w:r w:rsidRPr="001C4C11">
              <w:rPr>
                <w:b/>
              </w:rPr>
              <w:t>Article 5</w:t>
            </w:r>
          </w:p>
          <w:p w:rsidR="00352C59" w:rsidRDefault="00352C59" w:rsidP="004402D6">
            <w:pPr>
              <w:jc w:val="center"/>
              <w:rPr>
                <w:b/>
              </w:rPr>
            </w:pPr>
            <w:r w:rsidRPr="001C4C11">
              <w:rPr>
                <w:b/>
              </w:rPr>
              <w:lastRenderedPageBreak/>
              <w:t>National Risk Assessment Process</w:t>
            </w:r>
          </w:p>
          <w:p w:rsidR="00116DCE" w:rsidRDefault="00116DCE" w:rsidP="004402D6">
            <w:pPr>
              <w:jc w:val="center"/>
              <w:rPr>
                <w:b/>
              </w:rPr>
            </w:pPr>
          </w:p>
          <w:p w:rsidR="00A1433A" w:rsidRDefault="00A1433A" w:rsidP="004402D6">
            <w:pPr>
              <w:jc w:val="center"/>
              <w:rPr>
                <w:b/>
              </w:rPr>
            </w:pPr>
          </w:p>
          <w:p w:rsidR="00A1433A" w:rsidRPr="00A1433A" w:rsidRDefault="00A1433A" w:rsidP="004402D6">
            <w:pPr>
              <w:jc w:val="center"/>
              <w:rPr>
                <w:b/>
                <w:sz w:val="14"/>
              </w:rPr>
            </w:pPr>
          </w:p>
          <w:p w:rsidR="00352C59" w:rsidRPr="004402D6" w:rsidRDefault="00116DCE" w:rsidP="004402D6">
            <w:pPr>
              <w:jc w:val="both"/>
            </w:pPr>
            <w:r>
              <w:t xml:space="preserve">1. </w:t>
            </w:r>
            <w:r w:rsidR="004402D6">
              <w:t xml:space="preserve"> </w:t>
            </w:r>
            <w:r w:rsidR="00352C59" w:rsidRPr="004402D6">
              <w:t xml:space="preserve">The risk assessment process for PP-FT  is based  in the Law for PPP/LFT , best practices andFATF guidelines and other international standards on risk assessment . This risk assessment  consists of the following stages, but not limited : </w:t>
            </w:r>
          </w:p>
          <w:p w:rsidR="00352C59" w:rsidRPr="00A1433A" w:rsidRDefault="00352C59" w:rsidP="00A1433A">
            <w:pPr>
              <w:keepNext/>
              <w:keepLines/>
              <w:spacing w:before="200"/>
              <w:jc w:val="both"/>
              <w:outlineLvl w:val="2"/>
            </w:pPr>
          </w:p>
          <w:p w:rsidR="00352C59" w:rsidRPr="00116DCE" w:rsidRDefault="00116DCE" w:rsidP="00116DCE">
            <w:pPr>
              <w:ind w:left="288"/>
              <w:jc w:val="both"/>
            </w:pPr>
            <w:r>
              <w:t xml:space="preserve">1.1. </w:t>
            </w:r>
            <w:r w:rsidR="00352C59" w:rsidRPr="00116DCE">
              <w:t>The determining stage -includes the identification of the public, private and third sector institutions which should be involved in the  National Risk Assessment process</w:t>
            </w:r>
          </w:p>
          <w:p w:rsidR="00352C59" w:rsidRPr="005C5EE7" w:rsidRDefault="00352C59" w:rsidP="00352C59">
            <w:pPr>
              <w:ind w:left="865" w:hanging="450"/>
              <w:jc w:val="both"/>
            </w:pPr>
          </w:p>
          <w:p w:rsidR="00352C59" w:rsidRPr="00116DCE" w:rsidRDefault="00116DCE" w:rsidP="00116DCE">
            <w:pPr>
              <w:ind w:left="288"/>
              <w:jc w:val="both"/>
            </w:pPr>
            <w:r>
              <w:t xml:space="preserve">1.2. </w:t>
            </w:r>
            <w:r w:rsidR="00352C59" w:rsidRPr="00A438A8">
              <w:t xml:space="preserve">The identification stage -consists of a process of </w:t>
            </w:r>
            <w:r w:rsidR="00352C59" w:rsidRPr="00A93AB7">
              <w:t xml:space="preserve"> recognizing and describing risks and vulnerabilitiesof the prevention mechanisms.</w:t>
            </w:r>
          </w:p>
          <w:p w:rsidR="00352C59" w:rsidRPr="00116DCE" w:rsidRDefault="00352C59" w:rsidP="00116DCE">
            <w:pPr>
              <w:ind w:left="288"/>
              <w:jc w:val="both"/>
            </w:pPr>
            <w:r w:rsidRPr="00116DCE">
              <w:t xml:space="preserve">The identification stage is based on a communication and consultation with the relevant public, private and third sector institutions and it may include collection of statistics, interviews of stakeholders, questionnaires, analysis of existing assessments and other appropriate means to collect quantitative and qualitative information. The risks shall also include classification of the specific economic or business sector of the identified risks. The intention of the identification stage is to identify the causes and weaknesses which </w:t>
            </w:r>
            <w:r w:rsidRPr="00116DCE">
              <w:lastRenderedPageBreak/>
              <w:t xml:space="preserve">may pose a risk. The causes and potential consequences shall be identified and listed. </w:t>
            </w:r>
          </w:p>
          <w:p w:rsidR="00741F17" w:rsidRDefault="00741F17" w:rsidP="00A1433A">
            <w:pPr>
              <w:keepNext/>
              <w:keepLines/>
              <w:jc w:val="both"/>
              <w:outlineLvl w:val="2"/>
            </w:pPr>
          </w:p>
          <w:p w:rsidR="00A1433A" w:rsidRPr="00741F17" w:rsidRDefault="00A1433A" w:rsidP="00A1433A">
            <w:pPr>
              <w:keepNext/>
              <w:keepLines/>
              <w:jc w:val="both"/>
              <w:outlineLvl w:val="2"/>
            </w:pPr>
          </w:p>
          <w:p w:rsidR="00352C59" w:rsidRPr="00116DCE" w:rsidRDefault="00116DCE" w:rsidP="00A1433A">
            <w:pPr>
              <w:ind w:left="288"/>
              <w:jc w:val="both"/>
            </w:pPr>
            <w:r>
              <w:t xml:space="preserve">1.3. </w:t>
            </w:r>
            <w:r w:rsidR="00352C59" w:rsidRPr="00116DCE">
              <w:t>The risk analysis stage includes determining the consequences and probabilities for identified events constituting a risk. Factors that affect consequences  should be identified and combined to determine the level of risk. The objective of this stage is to define the nature, sources, probability and consequences of the risks. Therisks are presented separately in own chapters for money laundering and terrorist financing. The horizontal risks related for both areas are also presented.</w:t>
            </w:r>
          </w:p>
          <w:p w:rsidR="00352C59" w:rsidRPr="005C5EE7" w:rsidRDefault="00352C59" w:rsidP="00352C59">
            <w:pPr>
              <w:ind w:left="865" w:hanging="450"/>
              <w:jc w:val="both"/>
            </w:pPr>
          </w:p>
          <w:p w:rsidR="00352C59" w:rsidRDefault="00741F17" w:rsidP="00741F17">
            <w:pPr>
              <w:jc w:val="both"/>
            </w:pPr>
            <w:r>
              <w:t xml:space="preserve">1.4. </w:t>
            </w:r>
            <w:r w:rsidR="00352C59" w:rsidRPr="00741F17">
              <w:t>The evaluation stage consists of the prioritization of the identified risks. This is based on their estimated consequences and probabilitywithregard to the defined risk criteria.The evaluation phase shall contain the risk treatment with priorities. The riska are presented seperately as chapters on money laundering and terrorsim financing. Likewise, horizontal risks are presented which are linked with two fields.  The evaluation includes also the decision whether the risk should be:</w:t>
            </w:r>
          </w:p>
          <w:p w:rsidR="00741F17" w:rsidRDefault="00741F17" w:rsidP="00741F17">
            <w:pPr>
              <w:jc w:val="both"/>
            </w:pPr>
          </w:p>
          <w:p w:rsidR="00741F17" w:rsidRPr="00741F17" w:rsidRDefault="00741F17" w:rsidP="00741F17">
            <w:pPr>
              <w:jc w:val="both"/>
            </w:pPr>
          </w:p>
          <w:p w:rsidR="00352C59" w:rsidRDefault="00741F17" w:rsidP="00741F17">
            <w:pPr>
              <w:ind w:left="576"/>
              <w:jc w:val="both"/>
            </w:pPr>
            <w:r>
              <w:t>1.4</w:t>
            </w:r>
            <w:r w:rsidR="00352C59">
              <w:t>.1</w:t>
            </w:r>
            <w:r>
              <w:t>.</w:t>
            </w:r>
            <w:r w:rsidR="00352C59" w:rsidRPr="005C5EE7">
              <w:t>Treated immediately;</w:t>
            </w:r>
          </w:p>
          <w:p w:rsidR="00741F17" w:rsidRPr="005C5EE7" w:rsidRDefault="00741F17" w:rsidP="00741F17">
            <w:pPr>
              <w:ind w:left="576"/>
              <w:jc w:val="both"/>
            </w:pPr>
          </w:p>
          <w:p w:rsidR="00352C59" w:rsidRDefault="00741F17" w:rsidP="00741F17">
            <w:pPr>
              <w:ind w:left="576"/>
              <w:jc w:val="both"/>
            </w:pPr>
            <w:r>
              <w:t>1.4</w:t>
            </w:r>
            <w:r w:rsidR="00352C59">
              <w:t>.2</w:t>
            </w:r>
            <w:r>
              <w:t>.</w:t>
            </w:r>
            <w:r w:rsidR="00352C59">
              <w:t xml:space="preserve"> </w:t>
            </w:r>
            <w:r w:rsidR="00352C59" w:rsidRPr="001C4C11">
              <w:t>Treated as soon as possible;</w:t>
            </w:r>
          </w:p>
          <w:p w:rsidR="00741F17" w:rsidRDefault="00741F17" w:rsidP="00741F17">
            <w:pPr>
              <w:ind w:left="576"/>
              <w:jc w:val="both"/>
            </w:pPr>
          </w:p>
          <w:p w:rsidR="00A1433A" w:rsidRPr="005C5EE7" w:rsidRDefault="00A1433A" w:rsidP="00741F17">
            <w:pPr>
              <w:ind w:left="576"/>
              <w:jc w:val="both"/>
            </w:pPr>
          </w:p>
          <w:p w:rsidR="00352C59" w:rsidRDefault="00741F17" w:rsidP="00741F17">
            <w:pPr>
              <w:ind w:left="576"/>
              <w:jc w:val="both"/>
            </w:pPr>
            <w:r>
              <w:lastRenderedPageBreak/>
              <w:t>1.4</w:t>
            </w:r>
            <w:r w:rsidR="00352C59">
              <w:t>.3</w:t>
            </w:r>
            <w:r>
              <w:t>.</w:t>
            </w:r>
            <w:r w:rsidR="00352C59" w:rsidRPr="001C4C11">
              <w:t>Treated in due course:</w:t>
            </w:r>
          </w:p>
          <w:p w:rsidR="00741F17" w:rsidRPr="00A1433A" w:rsidRDefault="00741F17" w:rsidP="00741F17">
            <w:pPr>
              <w:ind w:left="576"/>
              <w:jc w:val="both"/>
              <w:rPr>
                <w:sz w:val="16"/>
              </w:rPr>
            </w:pPr>
          </w:p>
          <w:p w:rsidR="00352C59" w:rsidRPr="005C5EE7" w:rsidRDefault="00741F17" w:rsidP="00741F17">
            <w:pPr>
              <w:ind w:left="576"/>
              <w:jc w:val="both"/>
            </w:pPr>
            <w:r>
              <w:t>1.4</w:t>
            </w:r>
            <w:r w:rsidR="00352C59">
              <w:t>.4</w:t>
            </w:r>
            <w:r>
              <w:t>.</w:t>
            </w:r>
            <w:r w:rsidR="00352C59">
              <w:t xml:space="preserve"> </w:t>
            </w:r>
            <w:r w:rsidR="00352C59" w:rsidRPr="001C4C11">
              <w:t>Monitored without further measures.</w:t>
            </w:r>
          </w:p>
          <w:p w:rsidR="00352C59" w:rsidRPr="00741F17" w:rsidRDefault="00352C59" w:rsidP="00741F17">
            <w:pPr>
              <w:ind w:left="738" w:hanging="450"/>
              <w:jc w:val="both"/>
              <w:rPr>
                <w:sz w:val="28"/>
              </w:rPr>
            </w:pPr>
            <w:r>
              <w:t xml:space="preserve">       </w:t>
            </w:r>
          </w:p>
          <w:p w:rsidR="00352C59" w:rsidRPr="005C5EE7" w:rsidRDefault="00352C59" w:rsidP="00352C59">
            <w:pPr>
              <w:jc w:val="center"/>
              <w:rPr>
                <w:b/>
              </w:rPr>
            </w:pPr>
            <w:r w:rsidRPr="001C4C11">
              <w:rPr>
                <w:b/>
              </w:rPr>
              <w:t>Article 6</w:t>
            </w:r>
          </w:p>
          <w:p w:rsidR="00352C59" w:rsidRPr="005C5EE7" w:rsidRDefault="00352C59" w:rsidP="00352C59">
            <w:pPr>
              <w:jc w:val="center"/>
              <w:rPr>
                <w:b/>
              </w:rPr>
            </w:pPr>
            <w:r w:rsidRPr="001C4C11">
              <w:rPr>
                <w:b/>
              </w:rPr>
              <w:t>Form and structure of the National Risk Assessment</w:t>
            </w:r>
          </w:p>
          <w:p w:rsidR="00352C59" w:rsidRDefault="00741F17" w:rsidP="00741F17">
            <w:pPr>
              <w:spacing w:before="240"/>
              <w:jc w:val="both"/>
            </w:pPr>
            <w:r>
              <w:t xml:space="preserve">1. </w:t>
            </w:r>
            <w:r w:rsidR="00352C59" w:rsidRPr="001C4C11">
              <w:t>The FIU</w:t>
            </w:r>
            <w:r w:rsidR="00352C59">
              <w:t>-</w:t>
            </w:r>
            <w:r w:rsidR="00352C59" w:rsidRPr="001C4C11">
              <w:t>K shall document the risk assessment process on money laundering, terrorist financing and informal economy and its results in a report which shall include at least the following:</w:t>
            </w:r>
          </w:p>
          <w:p w:rsidR="00741F17" w:rsidRPr="00741F17" w:rsidRDefault="00741F17" w:rsidP="00741F17">
            <w:pPr>
              <w:spacing w:before="240"/>
              <w:jc w:val="both"/>
              <w:rPr>
                <w:sz w:val="12"/>
              </w:rPr>
            </w:pPr>
          </w:p>
          <w:p w:rsidR="00741F17" w:rsidRDefault="00352C59" w:rsidP="00741F17">
            <w:pPr>
              <w:ind w:left="288"/>
              <w:jc w:val="both"/>
            </w:pPr>
            <w:r>
              <w:t xml:space="preserve">1.1 </w:t>
            </w:r>
            <w:r w:rsidRPr="001C4C11">
              <w:t xml:space="preserve">Determination of the risk assessment’s scope and risk criteria </w:t>
            </w:r>
            <w:r w:rsidR="00741F17">
              <w:t>;</w:t>
            </w:r>
          </w:p>
          <w:p w:rsidR="00741F17" w:rsidRPr="00741F17" w:rsidRDefault="00741F17" w:rsidP="00741F17">
            <w:pPr>
              <w:ind w:left="288"/>
              <w:jc w:val="both"/>
              <w:rPr>
                <w:sz w:val="10"/>
              </w:rPr>
            </w:pPr>
          </w:p>
          <w:p w:rsidR="00352C59" w:rsidRDefault="00352C59" w:rsidP="00741F17">
            <w:pPr>
              <w:ind w:left="288"/>
              <w:jc w:val="both"/>
            </w:pPr>
            <w:r>
              <w:t>1.2</w:t>
            </w:r>
            <w:r w:rsidR="00741F17">
              <w:t>.</w:t>
            </w:r>
            <w:r>
              <w:t xml:space="preserve"> </w:t>
            </w:r>
            <w:r w:rsidRPr="001C4C11">
              <w:t>Identification of the institutions involved in the process</w:t>
            </w:r>
            <w:r w:rsidR="00741F17">
              <w:t>;</w:t>
            </w:r>
          </w:p>
          <w:p w:rsidR="00741F17" w:rsidRPr="00741F17" w:rsidRDefault="00741F17" w:rsidP="00741F17">
            <w:pPr>
              <w:ind w:left="288"/>
              <w:jc w:val="both"/>
              <w:rPr>
                <w:sz w:val="14"/>
              </w:rPr>
            </w:pPr>
          </w:p>
          <w:p w:rsidR="00352C59" w:rsidRDefault="00352C59" w:rsidP="00741F17">
            <w:pPr>
              <w:ind w:left="288"/>
              <w:jc w:val="both"/>
            </w:pPr>
            <w:r>
              <w:t>1.3</w:t>
            </w:r>
            <w:r w:rsidR="00741F17">
              <w:t>.</w:t>
            </w:r>
            <w:r>
              <w:t xml:space="preserve"> </w:t>
            </w:r>
            <w:r w:rsidRPr="001C4C11">
              <w:t>Methodology used for the risk assessment</w:t>
            </w:r>
            <w:r w:rsidR="00741F17">
              <w:t>;</w:t>
            </w:r>
          </w:p>
          <w:p w:rsidR="00741F17" w:rsidRPr="00741F17" w:rsidRDefault="00741F17" w:rsidP="00741F17">
            <w:pPr>
              <w:ind w:left="288"/>
              <w:jc w:val="both"/>
              <w:rPr>
                <w:sz w:val="12"/>
              </w:rPr>
            </w:pPr>
          </w:p>
          <w:p w:rsidR="00352C59" w:rsidRPr="005C5EE7" w:rsidRDefault="00352C59" w:rsidP="00741F17">
            <w:pPr>
              <w:tabs>
                <w:tab w:val="center" w:pos="4320"/>
                <w:tab w:val="right" w:pos="8640"/>
              </w:tabs>
              <w:ind w:left="288"/>
              <w:jc w:val="both"/>
            </w:pPr>
            <w:r>
              <w:t>1.4</w:t>
            </w:r>
            <w:r w:rsidR="00741F17">
              <w:t>.</w:t>
            </w:r>
            <w:r>
              <w:t xml:space="preserve"> </w:t>
            </w:r>
            <w:r w:rsidRPr="001C4C11">
              <w:t>Identification of the risks; horizontal, money laundering and terrorist financing</w:t>
            </w:r>
            <w:r w:rsidR="00741F17">
              <w:t>;</w:t>
            </w:r>
          </w:p>
          <w:p w:rsidR="00741F17" w:rsidRDefault="00352C59" w:rsidP="00741F17">
            <w:pPr>
              <w:tabs>
                <w:tab w:val="center" w:pos="4320"/>
                <w:tab w:val="right" w:pos="8640"/>
              </w:tabs>
              <w:ind w:left="288"/>
              <w:jc w:val="both"/>
            </w:pPr>
            <w:r>
              <w:t xml:space="preserve"> 1.5 </w:t>
            </w:r>
            <w:r w:rsidR="00741F17">
              <w:t>.</w:t>
            </w:r>
            <w:r w:rsidRPr="001C4C11">
              <w:t>Analysis of the horizontal risks</w:t>
            </w:r>
            <w:r w:rsidR="00741F17">
              <w:t>;</w:t>
            </w:r>
          </w:p>
          <w:p w:rsidR="00741F17" w:rsidRPr="00741F17" w:rsidRDefault="00741F17" w:rsidP="00741F17">
            <w:pPr>
              <w:tabs>
                <w:tab w:val="center" w:pos="4320"/>
                <w:tab w:val="right" w:pos="8640"/>
              </w:tabs>
              <w:ind w:left="288"/>
              <w:jc w:val="both"/>
              <w:rPr>
                <w:sz w:val="14"/>
              </w:rPr>
            </w:pPr>
          </w:p>
          <w:p w:rsidR="00352C59" w:rsidRDefault="00352C59" w:rsidP="00741F17">
            <w:pPr>
              <w:tabs>
                <w:tab w:val="center" w:pos="4320"/>
                <w:tab w:val="right" w:pos="8640"/>
              </w:tabs>
              <w:ind w:left="288"/>
              <w:jc w:val="both"/>
            </w:pPr>
            <w:r>
              <w:t>1.6</w:t>
            </w:r>
            <w:r w:rsidR="00741F17">
              <w:t>.</w:t>
            </w:r>
            <w:r>
              <w:t xml:space="preserve"> A</w:t>
            </w:r>
            <w:r w:rsidRPr="001C4C11">
              <w:t>nalysis of the risks on money laundering</w:t>
            </w:r>
            <w:r w:rsidR="00741F17">
              <w:t>;</w:t>
            </w:r>
          </w:p>
          <w:p w:rsidR="00741F17" w:rsidRPr="00741F17" w:rsidRDefault="00741F17" w:rsidP="00741F17">
            <w:pPr>
              <w:tabs>
                <w:tab w:val="center" w:pos="4320"/>
                <w:tab w:val="right" w:pos="8640"/>
              </w:tabs>
              <w:ind w:left="288"/>
              <w:jc w:val="both"/>
            </w:pPr>
          </w:p>
          <w:p w:rsidR="00352C59" w:rsidRDefault="00352C59" w:rsidP="00741F17">
            <w:pPr>
              <w:tabs>
                <w:tab w:val="center" w:pos="4320"/>
                <w:tab w:val="right" w:pos="8640"/>
              </w:tabs>
              <w:ind w:left="288"/>
              <w:jc w:val="both"/>
            </w:pPr>
            <w:r>
              <w:t>1.7</w:t>
            </w:r>
            <w:r w:rsidR="00741F17">
              <w:t>.</w:t>
            </w:r>
            <w:r w:rsidRPr="001C4C11">
              <w:t>Analysis of the risks on terrorist financing</w:t>
            </w:r>
            <w:r w:rsidR="00741F17">
              <w:t>;</w:t>
            </w:r>
          </w:p>
          <w:p w:rsidR="00A1433A" w:rsidRDefault="00A1433A" w:rsidP="00741F17">
            <w:pPr>
              <w:tabs>
                <w:tab w:val="center" w:pos="4320"/>
                <w:tab w:val="right" w:pos="8640"/>
              </w:tabs>
              <w:ind w:left="288"/>
              <w:jc w:val="both"/>
            </w:pPr>
          </w:p>
          <w:p w:rsidR="00741F17" w:rsidRPr="00741F17" w:rsidRDefault="00741F17" w:rsidP="00741F17">
            <w:pPr>
              <w:tabs>
                <w:tab w:val="center" w:pos="4320"/>
                <w:tab w:val="right" w:pos="8640"/>
              </w:tabs>
              <w:ind w:left="288"/>
              <w:jc w:val="both"/>
              <w:rPr>
                <w:sz w:val="12"/>
              </w:rPr>
            </w:pPr>
          </w:p>
          <w:p w:rsidR="00352C59" w:rsidRDefault="00352C59" w:rsidP="00741F17">
            <w:pPr>
              <w:tabs>
                <w:tab w:val="center" w:pos="4320"/>
                <w:tab w:val="right" w:pos="8640"/>
              </w:tabs>
              <w:ind w:left="288"/>
              <w:jc w:val="both"/>
            </w:pPr>
            <w:r>
              <w:t xml:space="preserve">1.8 </w:t>
            </w:r>
            <w:r w:rsidR="00741F17">
              <w:t>.</w:t>
            </w:r>
            <w:r w:rsidRPr="001C4C11">
              <w:t>Evaluation of the risks</w:t>
            </w:r>
            <w:r w:rsidR="00741F17">
              <w:t>;</w:t>
            </w:r>
          </w:p>
          <w:p w:rsidR="00741F17" w:rsidRDefault="00741F17" w:rsidP="00741F17">
            <w:pPr>
              <w:tabs>
                <w:tab w:val="center" w:pos="4320"/>
                <w:tab w:val="right" w:pos="8640"/>
              </w:tabs>
              <w:ind w:left="288"/>
              <w:jc w:val="both"/>
            </w:pPr>
          </w:p>
          <w:p w:rsidR="00741F17" w:rsidRPr="005C5EE7" w:rsidRDefault="00741F17" w:rsidP="00741F17">
            <w:pPr>
              <w:tabs>
                <w:tab w:val="center" w:pos="4320"/>
                <w:tab w:val="right" w:pos="8640"/>
              </w:tabs>
              <w:ind w:left="288"/>
              <w:jc w:val="both"/>
            </w:pPr>
          </w:p>
          <w:p w:rsidR="00352C59" w:rsidRDefault="00352C59" w:rsidP="00741F17">
            <w:pPr>
              <w:tabs>
                <w:tab w:val="center" w:pos="4320"/>
                <w:tab w:val="right" w:pos="8640"/>
              </w:tabs>
              <w:ind w:left="288"/>
              <w:jc w:val="both"/>
            </w:pPr>
            <w:r>
              <w:lastRenderedPageBreak/>
              <w:t>1.9</w:t>
            </w:r>
            <w:r w:rsidR="00741F17">
              <w:t>.</w:t>
            </w:r>
            <w:r>
              <w:t>.</w:t>
            </w:r>
            <w:r w:rsidRPr="001C4C11">
              <w:t>Action Plan concerning treatment</w:t>
            </w:r>
            <w:r w:rsidR="00741F17">
              <w:t xml:space="preserve"> measures for prioritized risks;</w:t>
            </w:r>
          </w:p>
          <w:p w:rsidR="00741F17" w:rsidRPr="00741F17" w:rsidRDefault="00741F17" w:rsidP="00741F17">
            <w:pPr>
              <w:tabs>
                <w:tab w:val="center" w:pos="4320"/>
                <w:tab w:val="right" w:pos="8640"/>
              </w:tabs>
              <w:ind w:left="288"/>
              <w:jc w:val="both"/>
              <w:rPr>
                <w:sz w:val="12"/>
              </w:rPr>
            </w:pPr>
          </w:p>
          <w:p w:rsidR="00352C59" w:rsidRPr="005C5EE7" w:rsidRDefault="00352C59" w:rsidP="00741F17">
            <w:pPr>
              <w:tabs>
                <w:tab w:val="center" w:pos="4320"/>
                <w:tab w:val="right" w:pos="8640"/>
              </w:tabs>
              <w:ind w:left="288"/>
              <w:jc w:val="both"/>
            </w:pPr>
            <w:r>
              <w:t>1.10</w:t>
            </w:r>
            <w:r w:rsidR="00741F17">
              <w:t>.</w:t>
            </w:r>
            <w:r w:rsidRPr="001C4C11">
              <w:t>Recommendations on dissemination and publicity of the risk assessment and Action Plan</w:t>
            </w:r>
            <w:r w:rsidR="00741F17">
              <w:t>.</w:t>
            </w:r>
          </w:p>
          <w:p w:rsidR="00352C59" w:rsidRDefault="00352C59" w:rsidP="00352C59">
            <w:pPr>
              <w:keepNext/>
              <w:keepLines/>
              <w:spacing w:before="200" w:after="160" w:line="259" w:lineRule="auto"/>
              <w:outlineLvl w:val="2"/>
              <w:rPr>
                <w:b/>
              </w:rPr>
            </w:pPr>
          </w:p>
          <w:p w:rsidR="00352C59" w:rsidRPr="005C5EE7" w:rsidRDefault="00352C59" w:rsidP="00352C59">
            <w:pPr>
              <w:pStyle w:val="NoSpacing"/>
              <w:jc w:val="center"/>
              <w:rPr>
                <w:b/>
              </w:rPr>
            </w:pPr>
            <w:proofErr w:type="spellStart"/>
            <w:r>
              <w:rPr>
                <w:b/>
              </w:rPr>
              <w:t>Article</w:t>
            </w:r>
            <w:proofErr w:type="spellEnd"/>
            <w:r>
              <w:rPr>
                <w:b/>
              </w:rPr>
              <w:t xml:space="preserve"> 7</w:t>
            </w:r>
          </w:p>
          <w:p w:rsidR="00352C59" w:rsidRPr="005C5EE7" w:rsidRDefault="00352C59" w:rsidP="00352C59">
            <w:pPr>
              <w:pStyle w:val="NoSpacing"/>
              <w:jc w:val="center"/>
              <w:rPr>
                <w:b/>
              </w:rPr>
            </w:pPr>
            <w:proofErr w:type="spellStart"/>
            <w:r>
              <w:rPr>
                <w:b/>
              </w:rPr>
              <w:t>Approval</w:t>
            </w:r>
            <w:proofErr w:type="spellEnd"/>
            <w:r>
              <w:rPr>
                <w:b/>
              </w:rPr>
              <w:t xml:space="preserve">, </w:t>
            </w:r>
            <w:proofErr w:type="spellStart"/>
            <w:r>
              <w:rPr>
                <w:b/>
              </w:rPr>
              <w:t>dissemination</w:t>
            </w:r>
            <w:proofErr w:type="spellEnd"/>
            <w:r>
              <w:rPr>
                <w:b/>
              </w:rPr>
              <w:t xml:space="preserve"> </w:t>
            </w:r>
            <w:proofErr w:type="spellStart"/>
            <w:r>
              <w:rPr>
                <w:b/>
              </w:rPr>
              <w:t>and</w:t>
            </w:r>
            <w:proofErr w:type="spellEnd"/>
            <w:r>
              <w:rPr>
                <w:b/>
              </w:rPr>
              <w:t xml:space="preserve"> </w:t>
            </w:r>
            <w:proofErr w:type="spellStart"/>
            <w:r>
              <w:rPr>
                <w:b/>
              </w:rPr>
              <w:t>publicity</w:t>
            </w:r>
            <w:proofErr w:type="spellEnd"/>
            <w:r>
              <w:rPr>
                <w:b/>
              </w:rPr>
              <w:t xml:space="preserve"> </w:t>
            </w:r>
            <w:proofErr w:type="spellStart"/>
            <w:r>
              <w:rPr>
                <w:b/>
              </w:rPr>
              <w:t>of</w:t>
            </w:r>
            <w:proofErr w:type="spellEnd"/>
            <w:r>
              <w:rPr>
                <w:b/>
              </w:rPr>
              <w:t xml:space="preserve"> the </w:t>
            </w:r>
            <w:proofErr w:type="spellStart"/>
            <w:r>
              <w:rPr>
                <w:b/>
              </w:rPr>
              <w:t>national</w:t>
            </w:r>
            <w:proofErr w:type="spellEnd"/>
            <w:r>
              <w:rPr>
                <w:b/>
              </w:rPr>
              <w:t xml:space="preserve"> risk </w:t>
            </w:r>
            <w:proofErr w:type="spellStart"/>
            <w:r>
              <w:rPr>
                <w:b/>
              </w:rPr>
              <w:t>assessment</w:t>
            </w:r>
            <w:proofErr w:type="spellEnd"/>
          </w:p>
          <w:p w:rsidR="00352C59" w:rsidRPr="005C5EE7" w:rsidRDefault="00352C59" w:rsidP="00352C59">
            <w:pPr>
              <w:pStyle w:val="NoSpacing"/>
              <w:keepNext/>
              <w:keepLines/>
              <w:spacing w:before="480"/>
              <w:jc w:val="center"/>
              <w:outlineLvl w:val="0"/>
              <w:rPr>
                <w:b/>
              </w:rPr>
            </w:pPr>
          </w:p>
          <w:p w:rsidR="00352C59" w:rsidRDefault="00352C59" w:rsidP="00352C59">
            <w:pPr>
              <w:jc w:val="both"/>
            </w:pPr>
            <w:r w:rsidRPr="001C4C11">
              <w:t>The FIU</w:t>
            </w:r>
            <w:r>
              <w:t>-</w:t>
            </w:r>
            <w:r w:rsidRPr="001C4C11">
              <w:t xml:space="preserve">K shall submit the report consisting of the National Risk Assessment on money laundering, financing of terrorism and informal economy to the Ministry of Finance which will introduce </w:t>
            </w:r>
            <w:r>
              <w:t xml:space="preserve">and propose </w:t>
            </w:r>
            <w:r w:rsidRPr="001C4C11">
              <w:t xml:space="preserve"> to the Government of the Republic of Kosovo for approval. </w:t>
            </w:r>
          </w:p>
          <w:p w:rsidR="00352C59" w:rsidRPr="00741F17" w:rsidRDefault="00352C59" w:rsidP="00352C59">
            <w:pPr>
              <w:jc w:val="both"/>
              <w:rPr>
                <w:sz w:val="12"/>
              </w:rPr>
            </w:pPr>
          </w:p>
          <w:p w:rsidR="00352C59" w:rsidRPr="005C5EE7" w:rsidRDefault="00352C59" w:rsidP="00352C59">
            <w:pPr>
              <w:jc w:val="both"/>
            </w:pPr>
            <w:r w:rsidRPr="001C4C11">
              <w:t>Upon proposal of the Ministry of Finance the Government of the Republic of Kosovo shall decide on the dissemination and publicity of the National Risk Assessment and Action Plan on money laundering, financing of terrorism and informal economy. If the National Risk Assessment is not published, the summary of the assessment and the list of treatment measures needed immediately are published. Based on the prioritized risks, the Government of the Republic of Kosovo shall decide on the strategies and other treatment measures at the national level.</w:t>
            </w:r>
          </w:p>
          <w:p w:rsidR="00352C59" w:rsidRDefault="00352C59" w:rsidP="00352C59">
            <w:pPr>
              <w:spacing w:after="160" w:line="259" w:lineRule="auto"/>
              <w:rPr>
                <w:rFonts w:eastAsia="Times New Roman"/>
              </w:rPr>
            </w:pPr>
            <w:r w:rsidRPr="001C4C11">
              <w:rPr>
                <w:rFonts w:eastAsia="Times New Roman"/>
              </w:rPr>
              <w:br w:type="page"/>
            </w:r>
          </w:p>
          <w:p w:rsidR="00352C59" w:rsidRPr="005C5EE7" w:rsidRDefault="00352C59" w:rsidP="00352C59">
            <w:pPr>
              <w:spacing w:after="160" w:line="259" w:lineRule="auto"/>
              <w:rPr>
                <w:rFonts w:eastAsia="Times New Roman"/>
              </w:rPr>
            </w:pPr>
          </w:p>
          <w:p w:rsidR="00352C59" w:rsidRPr="005C5EE7" w:rsidRDefault="00352C59" w:rsidP="00352C59">
            <w:pPr>
              <w:jc w:val="center"/>
              <w:rPr>
                <w:rFonts w:eastAsia="Times New Roman"/>
                <w:b/>
              </w:rPr>
            </w:pPr>
            <w:r w:rsidRPr="001C4C11">
              <w:rPr>
                <w:rFonts w:eastAsia="Times New Roman"/>
                <w:b/>
              </w:rPr>
              <w:t>Article 8</w:t>
            </w:r>
          </w:p>
          <w:p w:rsidR="00352C59" w:rsidRPr="005C5EE7" w:rsidRDefault="00352C59" w:rsidP="00352C59">
            <w:pPr>
              <w:jc w:val="center"/>
              <w:rPr>
                <w:rFonts w:eastAsia="Times New Roman"/>
                <w:b/>
              </w:rPr>
            </w:pPr>
            <w:r w:rsidRPr="001C4C11">
              <w:rPr>
                <w:rFonts w:eastAsia="Times New Roman"/>
                <w:b/>
              </w:rPr>
              <w:t>Entry into force</w:t>
            </w:r>
          </w:p>
          <w:p w:rsidR="00352C59" w:rsidRDefault="00352C59" w:rsidP="00352C59">
            <w:pPr>
              <w:jc w:val="both"/>
              <w:rPr>
                <w:rFonts w:eastAsia="Times New Roman"/>
              </w:rPr>
            </w:pPr>
          </w:p>
          <w:p w:rsidR="00352C59" w:rsidRDefault="00741F17" w:rsidP="00352C59">
            <w:pPr>
              <w:jc w:val="both"/>
              <w:rPr>
                <w:rFonts w:eastAsia="Times New Roman"/>
              </w:rPr>
            </w:pPr>
            <w:r>
              <w:rPr>
                <w:rFonts w:eastAsia="Times New Roman"/>
              </w:rPr>
              <w:t>1.</w:t>
            </w:r>
            <w:r w:rsidR="00352C59">
              <w:rPr>
                <w:rFonts w:eastAsia="Times New Roman"/>
              </w:rPr>
              <w:t xml:space="preserve">This administrative instruction abrogates Administrative Instruction of Ministry of Finance No; 04/2013, dated on 06.09.2013, on National Risk Assessment of Money Laundering and Terrorism Financing </w:t>
            </w:r>
            <w:r>
              <w:rPr>
                <w:rFonts w:eastAsia="Times New Roman"/>
              </w:rPr>
              <w:t>.</w:t>
            </w:r>
          </w:p>
          <w:p w:rsidR="00741F17" w:rsidRDefault="00741F17" w:rsidP="00352C59">
            <w:pPr>
              <w:jc w:val="both"/>
              <w:rPr>
                <w:rFonts w:eastAsia="Times New Roman"/>
              </w:rPr>
            </w:pPr>
          </w:p>
          <w:p w:rsidR="00352C59" w:rsidRPr="005C5EE7" w:rsidRDefault="00741F17" w:rsidP="00352C59">
            <w:pPr>
              <w:jc w:val="both"/>
              <w:rPr>
                <w:rFonts w:eastAsia="Times New Roman"/>
              </w:rPr>
            </w:pPr>
            <w:r>
              <w:rPr>
                <w:rFonts w:eastAsia="Times New Roman"/>
              </w:rPr>
              <w:t xml:space="preserve">2. </w:t>
            </w:r>
            <w:r w:rsidR="00352C59" w:rsidRPr="001C4C11">
              <w:rPr>
                <w:rFonts w:eastAsia="Times New Roman"/>
              </w:rPr>
              <w:t>This instruction shall enter into force</w:t>
            </w:r>
            <w:r w:rsidR="00352C59">
              <w:rPr>
                <w:rFonts w:eastAsia="Times New Roman"/>
              </w:rPr>
              <w:t xml:space="preserve"> 7 days after its publication</w:t>
            </w:r>
            <w:r>
              <w:rPr>
                <w:rFonts w:eastAsia="Times New Roman"/>
              </w:rPr>
              <w:t>.</w:t>
            </w:r>
            <w:r w:rsidR="00352C59">
              <w:rPr>
                <w:rFonts w:eastAsia="Times New Roman"/>
              </w:rPr>
              <w:t xml:space="preserve"> </w:t>
            </w:r>
            <w:r w:rsidR="00352C59" w:rsidRPr="001C4C11">
              <w:rPr>
                <w:rFonts w:eastAsia="Times New Roman"/>
              </w:rPr>
              <w:t xml:space="preserve"> </w:t>
            </w:r>
          </w:p>
          <w:p w:rsidR="00352C59" w:rsidRPr="005C5EE7" w:rsidRDefault="00352C59" w:rsidP="00352C59">
            <w:pPr>
              <w:keepNext/>
              <w:keepLines/>
              <w:spacing w:before="200"/>
              <w:jc w:val="both"/>
              <w:outlineLvl w:val="2"/>
              <w:rPr>
                <w:rFonts w:eastAsia="Times New Roman"/>
              </w:rPr>
            </w:pPr>
          </w:p>
          <w:p w:rsidR="00352C59" w:rsidRDefault="00352C59" w:rsidP="00352C59">
            <w:pPr>
              <w:rPr>
                <w:rFonts w:eastAsia="Times New Roman"/>
              </w:rPr>
            </w:pPr>
          </w:p>
          <w:p w:rsidR="00527752" w:rsidRDefault="00394772" w:rsidP="00B96A78">
            <w:pPr>
              <w:rPr>
                <w:rFonts w:eastAsia="Times New Roman"/>
              </w:rPr>
            </w:pPr>
            <w:r>
              <w:rPr>
                <w:rFonts w:eastAsia="Times New Roman"/>
              </w:rPr>
              <w:t xml:space="preserve">                                              </w:t>
            </w:r>
          </w:p>
          <w:p w:rsidR="00B96A78" w:rsidRDefault="00B96A78" w:rsidP="00B96A78">
            <w:pPr>
              <w:rPr>
                <w:rFonts w:eastAsia="Times New Roman"/>
              </w:rPr>
            </w:pPr>
          </w:p>
          <w:p w:rsidR="00B96A78" w:rsidRDefault="00B96A78" w:rsidP="00B96A78">
            <w:pPr>
              <w:rPr>
                <w:rFonts w:eastAsia="Times New Roman"/>
              </w:rPr>
            </w:pPr>
          </w:p>
          <w:p w:rsidR="00B96A78" w:rsidRPr="000127F8" w:rsidRDefault="00B96A78" w:rsidP="00B96A78">
            <w:pPr>
              <w:autoSpaceDE w:val="0"/>
              <w:autoSpaceDN w:val="0"/>
              <w:adjustRightInd w:val="0"/>
              <w:jc w:val="right"/>
              <w:rPr>
                <w:rFonts w:eastAsia="Times New Roman"/>
                <w:lang w:val="en-GB"/>
              </w:rPr>
            </w:pPr>
            <w:proofErr w:type="spellStart"/>
            <w:r w:rsidRPr="000127F8">
              <w:rPr>
                <w:rFonts w:eastAsia="Times New Roman"/>
                <w:lang w:val="en-GB"/>
              </w:rPr>
              <w:t>Bedri</w:t>
            </w:r>
            <w:proofErr w:type="spellEnd"/>
            <w:r w:rsidRPr="000127F8">
              <w:rPr>
                <w:rFonts w:eastAsia="Times New Roman"/>
                <w:lang w:val="en-GB"/>
              </w:rPr>
              <w:t xml:space="preserve"> Hamza </w:t>
            </w:r>
          </w:p>
          <w:p w:rsidR="00B96A78" w:rsidRPr="000127F8" w:rsidRDefault="00B96A78" w:rsidP="00B96A78">
            <w:pPr>
              <w:autoSpaceDE w:val="0"/>
              <w:autoSpaceDN w:val="0"/>
              <w:adjustRightInd w:val="0"/>
              <w:jc w:val="right"/>
              <w:rPr>
                <w:rFonts w:eastAsia="Times New Roman"/>
                <w:lang w:val="en-GB"/>
              </w:rPr>
            </w:pPr>
          </w:p>
          <w:p w:rsidR="00B96A78" w:rsidRPr="000127F8" w:rsidRDefault="00B96A78" w:rsidP="00B96A78">
            <w:pPr>
              <w:autoSpaceDE w:val="0"/>
              <w:autoSpaceDN w:val="0"/>
              <w:adjustRightInd w:val="0"/>
              <w:jc w:val="right"/>
              <w:rPr>
                <w:rFonts w:eastAsia="Times New Roman"/>
                <w:lang w:val="en-GB"/>
              </w:rPr>
            </w:pPr>
            <w:r w:rsidRPr="000127F8">
              <w:rPr>
                <w:rFonts w:eastAsia="Times New Roman"/>
                <w:lang w:val="en-GB"/>
              </w:rPr>
              <w:t>__________________</w:t>
            </w:r>
          </w:p>
          <w:p w:rsidR="00B96A78" w:rsidRPr="000127F8" w:rsidRDefault="00B96A78" w:rsidP="00B96A78">
            <w:pPr>
              <w:autoSpaceDE w:val="0"/>
              <w:autoSpaceDN w:val="0"/>
              <w:adjustRightInd w:val="0"/>
              <w:jc w:val="right"/>
              <w:rPr>
                <w:rFonts w:eastAsia="Times New Roman"/>
                <w:lang w:val="en-GB"/>
              </w:rPr>
            </w:pPr>
            <w:r w:rsidRPr="000127F8">
              <w:rPr>
                <w:rFonts w:eastAsia="Times New Roman"/>
                <w:lang w:val="en-GB"/>
              </w:rPr>
              <w:t>Minister of Finance</w:t>
            </w:r>
          </w:p>
          <w:p w:rsidR="00B96A78" w:rsidRPr="000127F8" w:rsidRDefault="00B96A78" w:rsidP="00B96A78">
            <w:pPr>
              <w:autoSpaceDE w:val="0"/>
              <w:autoSpaceDN w:val="0"/>
              <w:adjustRightInd w:val="0"/>
              <w:rPr>
                <w:rFonts w:eastAsia="Times New Roman"/>
                <w:lang w:val="en-GB"/>
              </w:rPr>
            </w:pPr>
            <w:r w:rsidRPr="000127F8">
              <w:rPr>
                <w:rFonts w:eastAsia="Times New Roman"/>
                <w:lang w:val="en-GB"/>
              </w:rPr>
              <w:t xml:space="preserve">           </w:t>
            </w:r>
            <w:r>
              <w:rPr>
                <w:rFonts w:eastAsia="Times New Roman"/>
                <w:lang w:val="en-GB"/>
              </w:rPr>
              <w:t xml:space="preserve">                            Date: ___/___/____</w:t>
            </w:r>
          </w:p>
          <w:p w:rsidR="00B96A78" w:rsidRPr="005C5EE7" w:rsidRDefault="00B96A78" w:rsidP="00B96A78">
            <w:pPr>
              <w:rPr>
                <w:b/>
                <w:lang w:val="sq-AL"/>
              </w:rPr>
            </w:pPr>
          </w:p>
        </w:tc>
        <w:tc>
          <w:tcPr>
            <w:tcW w:w="4731" w:type="dxa"/>
          </w:tcPr>
          <w:p w:rsidR="00A1433A" w:rsidRDefault="00964DF4" w:rsidP="00A1433A">
            <w:pPr>
              <w:jc w:val="both"/>
            </w:pPr>
            <w:r>
              <w:lastRenderedPageBreak/>
              <w:t>Ministar F</w:t>
            </w:r>
            <w:bookmarkStart w:id="1" w:name="_GoBack"/>
            <w:bookmarkEnd w:id="1"/>
            <w:r w:rsidR="00A1433A">
              <w:t>inansija</w:t>
            </w:r>
            <w:r w:rsidR="00A1433A">
              <w:t>,</w:t>
            </w:r>
          </w:p>
          <w:p w:rsidR="00A1433A" w:rsidRDefault="00A1433A" w:rsidP="00A1433A">
            <w:pPr>
              <w:jc w:val="both"/>
            </w:pPr>
          </w:p>
          <w:p w:rsidR="00A1433A" w:rsidRPr="005C5EE7" w:rsidRDefault="00A1433A" w:rsidP="00A1433A">
            <w:pPr>
              <w:jc w:val="both"/>
            </w:pPr>
            <w:r>
              <w:t>S</w:t>
            </w:r>
            <w:r>
              <w:t xml:space="preserve">hodno članovima 18. stav 1 i 66. stav 1Zakona Kosova br. 05/L-096 o sprečavanju pranja novca i finansiranja terorizma (Službeni glasnik Republike Kosovo br. 18, dana 15. juna 2016. godine) donosi: </w:t>
            </w:r>
          </w:p>
          <w:p w:rsidR="00A1433A" w:rsidRDefault="00A1433A" w:rsidP="00A1433A">
            <w:pPr>
              <w:keepNext/>
              <w:keepLines/>
              <w:spacing w:before="200"/>
              <w:jc w:val="both"/>
              <w:outlineLvl w:val="2"/>
            </w:pPr>
          </w:p>
          <w:p w:rsidR="00A1433A" w:rsidRPr="00A1433A" w:rsidRDefault="00A1433A" w:rsidP="00A1433A">
            <w:pPr>
              <w:keepNext/>
              <w:keepLines/>
              <w:spacing w:before="200"/>
              <w:jc w:val="both"/>
              <w:outlineLvl w:val="2"/>
              <w:rPr>
                <w:sz w:val="12"/>
              </w:rPr>
            </w:pPr>
          </w:p>
          <w:p w:rsidR="00A1433A" w:rsidRDefault="00A1433A" w:rsidP="00A1433A">
            <w:pPr>
              <w:jc w:val="center"/>
              <w:rPr>
                <w:b/>
              </w:rPr>
            </w:pPr>
            <w:r>
              <w:rPr>
                <w:b/>
              </w:rPr>
              <w:t>ADMINISTRATIVNO UPUTSTVO O NACIONALNOJ PROCENI RIZIKA OD PRANJA NOVCA I FINANSIRANJA TERORIZMA</w:t>
            </w:r>
          </w:p>
          <w:p w:rsidR="00A1433A" w:rsidRDefault="00A1433A" w:rsidP="00A1433A">
            <w:pPr>
              <w:jc w:val="center"/>
              <w:rPr>
                <w:b/>
              </w:rPr>
            </w:pPr>
          </w:p>
          <w:p w:rsidR="00A1433A" w:rsidRPr="005C5EE7" w:rsidRDefault="00A1433A" w:rsidP="00A1433A">
            <w:pPr>
              <w:jc w:val="center"/>
              <w:rPr>
                <w:b/>
              </w:rPr>
            </w:pPr>
          </w:p>
          <w:p w:rsidR="00A1433A" w:rsidRPr="005C5EE7" w:rsidRDefault="00A1433A" w:rsidP="00A1433A">
            <w:pPr>
              <w:jc w:val="center"/>
              <w:rPr>
                <w:b/>
              </w:rPr>
            </w:pPr>
            <w:r>
              <w:rPr>
                <w:b/>
              </w:rPr>
              <w:t>Član 1.</w:t>
            </w:r>
          </w:p>
          <w:p w:rsidR="00A1433A" w:rsidRDefault="00A1433A" w:rsidP="00A1433A">
            <w:pPr>
              <w:jc w:val="center"/>
              <w:rPr>
                <w:b/>
              </w:rPr>
            </w:pPr>
            <w:r>
              <w:rPr>
                <w:b/>
              </w:rPr>
              <w:t xml:space="preserve">Cilj </w:t>
            </w:r>
          </w:p>
          <w:p w:rsidR="00A1433A" w:rsidRPr="005C5EE7" w:rsidRDefault="00A1433A" w:rsidP="00A1433A">
            <w:pPr>
              <w:jc w:val="center"/>
              <w:rPr>
                <w:b/>
              </w:rPr>
            </w:pPr>
          </w:p>
          <w:p w:rsidR="00A1433A" w:rsidRPr="005C5EE7" w:rsidRDefault="00A1433A" w:rsidP="00A1433A">
            <w:pPr>
              <w:jc w:val="both"/>
            </w:pPr>
            <w:r>
              <w:t xml:space="preserve">1. Cilj ovog administrativnog uputstva je  da, u skladu sa  članom 18 , stav 1 Zakona br. 05/L-096 za sprečavanje pranja novca i finansiranje terorizma i Preporuke FATF te druge relevantne međunarodne standarde, urediti i odrediti standardne procedure za jedan opšti proces procene nacionalnog rizika od pranja novca i finansiranje terorizma i neformalne ekonomije uključujući identifikaciju, analizu i procene rizika i nedostatke. </w:t>
            </w:r>
          </w:p>
          <w:p w:rsidR="00A1433A" w:rsidRDefault="00A1433A" w:rsidP="00A1433A">
            <w:pPr>
              <w:keepNext/>
              <w:keepLines/>
              <w:spacing w:before="200"/>
              <w:jc w:val="both"/>
              <w:outlineLvl w:val="2"/>
            </w:pPr>
          </w:p>
          <w:p w:rsidR="00A1433A" w:rsidRDefault="00A1433A" w:rsidP="00A1433A">
            <w:pPr>
              <w:keepNext/>
              <w:keepLines/>
              <w:spacing w:before="200"/>
              <w:jc w:val="both"/>
              <w:outlineLvl w:val="2"/>
            </w:pPr>
          </w:p>
          <w:p w:rsidR="00A1433A" w:rsidRPr="005C5EE7" w:rsidRDefault="00A1433A" w:rsidP="00A1433A">
            <w:pPr>
              <w:keepNext/>
              <w:keepLines/>
              <w:spacing w:before="200"/>
              <w:jc w:val="both"/>
              <w:outlineLvl w:val="2"/>
            </w:pPr>
          </w:p>
          <w:p w:rsidR="00A1433A" w:rsidRDefault="00A1433A" w:rsidP="00A1433A">
            <w:pPr>
              <w:jc w:val="both"/>
            </w:pPr>
            <w:r>
              <w:t xml:space="preserve">2. Ovo administrativno uputstvo ima za cilj orijentaciju i utvrđivanje politika, strategija i </w:t>
            </w:r>
            <w:r>
              <w:lastRenderedPageBreak/>
              <w:t>drugih relevantnih procedura za upravljanje rizicima Vlade Republike Kosova i drugih relevantnih institucija na Kosovu  koje će ih voditi u usmeravanju i kontrolisanju svojih aktivnosti na sprečavanju pranja novca, finansiranja terorizma i neformalne ekonomije.  Što se tiče odvojene proc</w:t>
            </w:r>
            <w:r w:rsidRPr="0010339F">
              <w:t>ene sektorskih rizika zasnovanih na pristupu zasnovanom na riziku unutar sektora, ovo će se razraditi u dokumentima i drugim podzakonskim aktima</w:t>
            </w:r>
            <w:r>
              <w:t xml:space="preserve">. </w:t>
            </w:r>
          </w:p>
          <w:p w:rsidR="00A1433A" w:rsidRPr="005C5EE7" w:rsidRDefault="00A1433A" w:rsidP="00A1433A">
            <w:pPr>
              <w:keepNext/>
              <w:keepLines/>
              <w:spacing w:before="200"/>
              <w:jc w:val="both"/>
              <w:outlineLvl w:val="2"/>
            </w:pPr>
          </w:p>
          <w:p w:rsidR="00A1433A" w:rsidRPr="005C5EE7" w:rsidRDefault="00A1433A" w:rsidP="00A1433A">
            <w:pPr>
              <w:jc w:val="center"/>
              <w:rPr>
                <w:b/>
              </w:rPr>
            </w:pPr>
            <w:r>
              <w:rPr>
                <w:b/>
              </w:rPr>
              <w:t>Član 2.</w:t>
            </w:r>
          </w:p>
          <w:p w:rsidR="00A1433A" w:rsidRPr="005C5EE7" w:rsidRDefault="00A1433A" w:rsidP="00A1433A">
            <w:pPr>
              <w:jc w:val="center"/>
              <w:rPr>
                <w:b/>
              </w:rPr>
            </w:pPr>
            <w:r>
              <w:rPr>
                <w:b/>
              </w:rPr>
              <w:t xml:space="preserve">Oblast </w:t>
            </w:r>
          </w:p>
          <w:p w:rsidR="00A1433A" w:rsidRPr="005C5EE7" w:rsidRDefault="00A1433A" w:rsidP="00A1433A">
            <w:pPr>
              <w:keepNext/>
              <w:keepLines/>
              <w:spacing w:before="480"/>
              <w:jc w:val="center"/>
              <w:outlineLvl w:val="0"/>
            </w:pPr>
          </w:p>
          <w:p w:rsidR="00A1433A" w:rsidRPr="005C5EE7" w:rsidRDefault="00A1433A" w:rsidP="00A1433A">
            <w:pPr>
              <w:jc w:val="both"/>
            </w:pPr>
            <w:r w:rsidRPr="00A55680">
              <w:t xml:space="preserve">Odredbe ovog uputstva sprovode sve javne  institucije </w:t>
            </w:r>
            <w:r>
              <w:t xml:space="preserve">i institucije </w:t>
            </w:r>
            <w:r w:rsidRPr="00A55680">
              <w:t>koje su imenovane kao subjekti izveštavanja prema Zakonu br. 05 / L-096 o sprečavanju pranja novca i finansiranja terorizma, kako bi se pomoglo u izradi i primeni pristupa koji se zasniva na riziku prema obavezama / funkcijama koje se odnose na JPP / CFT .</w:t>
            </w:r>
          </w:p>
          <w:p w:rsidR="00A1433A" w:rsidRDefault="00A1433A" w:rsidP="00A1433A">
            <w:pPr>
              <w:jc w:val="both"/>
            </w:pPr>
          </w:p>
          <w:p w:rsidR="00A1433A" w:rsidRDefault="00A1433A" w:rsidP="00A1433A">
            <w:pPr>
              <w:jc w:val="both"/>
            </w:pPr>
          </w:p>
          <w:p w:rsidR="00A1433A" w:rsidRDefault="00A1433A" w:rsidP="00A1433A">
            <w:pPr>
              <w:jc w:val="both"/>
            </w:pPr>
          </w:p>
          <w:p w:rsidR="00A1433A" w:rsidRPr="005C5EE7" w:rsidRDefault="00A1433A" w:rsidP="00A1433A">
            <w:pPr>
              <w:jc w:val="both"/>
            </w:pPr>
          </w:p>
          <w:p w:rsidR="00A1433A" w:rsidRPr="005C5EE7" w:rsidRDefault="00A1433A" w:rsidP="00A1433A">
            <w:pPr>
              <w:jc w:val="center"/>
              <w:rPr>
                <w:b/>
              </w:rPr>
            </w:pPr>
            <w:r>
              <w:rPr>
                <w:b/>
              </w:rPr>
              <w:t>Član 3</w:t>
            </w:r>
          </w:p>
          <w:p w:rsidR="00A1433A" w:rsidRPr="005C5EE7" w:rsidRDefault="00A1433A" w:rsidP="00A1433A">
            <w:pPr>
              <w:jc w:val="center"/>
              <w:rPr>
                <w:b/>
              </w:rPr>
            </w:pPr>
            <w:r>
              <w:rPr>
                <w:b/>
              </w:rPr>
              <w:t>Definicije</w:t>
            </w:r>
          </w:p>
          <w:p w:rsidR="00A1433A" w:rsidRDefault="00A1433A" w:rsidP="00A1433A">
            <w:pPr>
              <w:spacing w:before="120" w:after="120"/>
              <w:jc w:val="both"/>
            </w:pPr>
            <w:r>
              <w:t xml:space="preserve">1. </w:t>
            </w:r>
            <w:r w:rsidRPr="00A55680">
              <w:t>U svrhu ovo</w:t>
            </w:r>
            <w:r>
              <w:t>g administrativnog uputstva, sl</w:t>
            </w:r>
            <w:r w:rsidRPr="00A55680">
              <w:t>edeće definicije imaju sledeć</w:t>
            </w:r>
            <w:r>
              <w:t>a</w:t>
            </w:r>
            <w:r w:rsidRPr="00A55680">
              <w:t xml:space="preserve"> značenj</w:t>
            </w:r>
            <w:r>
              <w:t>a</w:t>
            </w:r>
            <w:r w:rsidRPr="00A55680">
              <w:t>:</w:t>
            </w:r>
          </w:p>
          <w:p w:rsidR="00A1433A" w:rsidRDefault="00A1433A" w:rsidP="00A1433A">
            <w:pPr>
              <w:spacing w:before="120" w:after="120"/>
              <w:jc w:val="both"/>
            </w:pPr>
          </w:p>
          <w:p w:rsidR="00A1433A" w:rsidRDefault="00A1433A" w:rsidP="00A1433A">
            <w:pPr>
              <w:ind w:left="288"/>
              <w:jc w:val="both"/>
            </w:pPr>
            <w:r>
              <w:lastRenderedPageBreak/>
              <w:t xml:space="preserve">1.1 </w:t>
            </w:r>
            <w:r w:rsidRPr="002F32E5">
              <w:rPr>
                <w:b/>
              </w:rPr>
              <w:t>Procena rizika</w:t>
            </w:r>
            <w:r w:rsidRPr="00160887">
              <w:t xml:space="preserve"> je opšti proces</w:t>
            </w:r>
            <w:r>
              <w:t xml:space="preserve"> identifikacije, analize i proc</w:t>
            </w:r>
            <w:r w:rsidRPr="00160887">
              <w:t>ene rizika i slabosti;</w:t>
            </w:r>
          </w:p>
          <w:p w:rsidR="00A1433A" w:rsidRDefault="00A1433A" w:rsidP="00A1433A">
            <w:pPr>
              <w:ind w:left="288"/>
              <w:jc w:val="both"/>
            </w:pPr>
          </w:p>
          <w:p w:rsidR="00A1433A" w:rsidRDefault="00A1433A" w:rsidP="00A1433A">
            <w:pPr>
              <w:ind w:left="288"/>
              <w:jc w:val="both"/>
            </w:pPr>
            <w:r>
              <w:t xml:space="preserve">1.2 </w:t>
            </w:r>
            <w:r w:rsidRPr="002F32E5">
              <w:rPr>
                <w:b/>
              </w:rPr>
              <w:t>Upravljanje rizicima</w:t>
            </w:r>
            <w:r w:rsidRPr="00160887">
              <w:t xml:space="preserve"> podrazumeva politike, strategije i druge koordinirane aktivnosti vezane za rizik organizacije;</w:t>
            </w:r>
          </w:p>
          <w:p w:rsidR="00A1433A" w:rsidRDefault="00A1433A" w:rsidP="00A1433A">
            <w:pPr>
              <w:ind w:left="288"/>
              <w:jc w:val="both"/>
            </w:pPr>
          </w:p>
          <w:p w:rsidR="00A1433A" w:rsidRDefault="00A1433A" w:rsidP="00A1433A">
            <w:pPr>
              <w:ind w:left="288"/>
              <w:jc w:val="both"/>
            </w:pPr>
          </w:p>
          <w:p w:rsidR="00A1433A" w:rsidRDefault="00A1433A" w:rsidP="00A1433A">
            <w:pPr>
              <w:ind w:left="288"/>
              <w:jc w:val="both"/>
            </w:pPr>
          </w:p>
          <w:p w:rsidR="00A1433A" w:rsidRDefault="00A1433A" w:rsidP="00A1433A">
            <w:pPr>
              <w:ind w:left="288"/>
              <w:jc w:val="both"/>
            </w:pPr>
            <w:r>
              <w:t xml:space="preserve">1.3 </w:t>
            </w:r>
            <w:r w:rsidRPr="002F32E5">
              <w:rPr>
                <w:b/>
              </w:rPr>
              <w:t>Pranje novca</w:t>
            </w:r>
            <w:r w:rsidRPr="00160887">
              <w:t xml:space="preserve"> znači krivično delo prema članu 56. Zakona o Kosovu br. 05 / L-096 o sprečavanju pranja novca i finansiranja terorizma.</w:t>
            </w:r>
          </w:p>
          <w:p w:rsidR="00A1433A" w:rsidRDefault="00A1433A" w:rsidP="00A1433A">
            <w:pPr>
              <w:ind w:left="288"/>
              <w:jc w:val="both"/>
            </w:pPr>
          </w:p>
          <w:p w:rsidR="00A1433A" w:rsidRDefault="00A1433A" w:rsidP="00A1433A">
            <w:pPr>
              <w:ind w:left="288"/>
              <w:jc w:val="both"/>
            </w:pPr>
          </w:p>
          <w:p w:rsidR="00A1433A" w:rsidRDefault="00A1433A" w:rsidP="00A1433A">
            <w:pPr>
              <w:ind w:left="288"/>
              <w:jc w:val="both"/>
            </w:pPr>
            <w:r>
              <w:t xml:space="preserve">1.4 </w:t>
            </w:r>
            <w:r w:rsidRPr="002F32E5">
              <w:rPr>
                <w:b/>
              </w:rPr>
              <w:t>Finansiranje terorizma</w:t>
            </w:r>
            <w:r>
              <w:t xml:space="preserve"> podrazumeva krivično d</w:t>
            </w:r>
            <w:r w:rsidRPr="00160887">
              <w:t>elo iz člana 57. Zakona o Kosovu br. 05 / L-096 o sprečavanju pranja novca i finansiranja terorizma</w:t>
            </w:r>
            <w:r>
              <w:t>.</w:t>
            </w:r>
          </w:p>
          <w:p w:rsidR="00A1433A" w:rsidRDefault="00A1433A" w:rsidP="00A1433A">
            <w:pPr>
              <w:ind w:left="288"/>
              <w:jc w:val="both"/>
            </w:pPr>
          </w:p>
          <w:p w:rsidR="00A1433A" w:rsidRDefault="00A1433A" w:rsidP="00A1433A">
            <w:pPr>
              <w:ind w:left="288"/>
              <w:jc w:val="both"/>
            </w:pPr>
          </w:p>
          <w:p w:rsidR="00A1433A" w:rsidRDefault="00A1433A" w:rsidP="00A1433A">
            <w:pPr>
              <w:ind w:left="288"/>
              <w:jc w:val="both"/>
            </w:pPr>
            <w:r>
              <w:t xml:space="preserve">1.5 </w:t>
            </w:r>
            <w:r w:rsidRPr="002F32E5">
              <w:rPr>
                <w:b/>
              </w:rPr>
              <w:t>Neformalna ekonomija</w:t>
            </w:r>
            <w:r>
              <w:t xml:space="preserve"> se sastoji od sive</w:t>
            </w:r>
            <w:r w:rsidRPr="00160887">
              <w:t xml:space="preserve"> i crn</w:t>
            </w:r>
            <w:r>
              <w:t>e ekonomije.</w:t>
            </w:r>
            <w:r w:rsidRPr="00160887">
              <w:t xml:space="preserve"> Siva ekonomija uključuje legitimne aktivnosti koje su n</w:t>
            </w:r>
            <w:r>
              <w:t>amerno izbrisane kako bi se izb</w:t>
            </w:r>
            <w:r w:rsidRPr="00160887">
              <w:t>eglo oporezivanje, usklađenost sa propisima o socijalnom osiguranju i / ili doprinosima, kao i koristi od poreske prevare i krijumčarenja legitimnih dobara dok crna ekonomija uključuje dobit i koristi od kriminalne aktivnosti.</w:t>
            </w:r>
          </w:p>
          <w:p w:rsidR="00A1433A" w:rsidRDefault="00A1433A" w:rsidP="00A1433A">
            <w:pPr>
              <w:keepNext/>
              <w:keepLines/>
              <w:jc w:val="both"/>
              <w:outlineLvl w:val="2"/>
            </w:pPr>
          </w:p>
          <w:p w:rsidR="00A1433A" w:rsidRPr="00A1433A" w:rsidRDefault="00A1433A" w:rsidP="00A1433A">
            <w:pPr>
              <w:keepNext/>
              <w:keepLines/>
              <w:jc w:val="both"/>
              <w:outlineLvl w:val="2"/>
              <w:rPr>
                <w:sz w:val="4"/>
              </w:rPr>
            </w:pPr>
          </w:p>
          <w:p w:rsidR="00A1433A" w:rsidRDefault="00A1433A" w:rsidP="00A1433A">
            <w:pPr>
              <w:keepNext/>
              <w:keepLines/>
              <w:jc w:val="center"/>
              <w:outlineLvl w:val="2"/>
            </w:pPr>
            <w:r>
              <w:rPr>
                <w:b/>
              </w:rPr>
              <w:t>Član</w:t>
            </w:r>
          </w:p>
          <w:p w:rsidR="00A1433A" w:rsidRPr="00A1433A" w:rsidRDefault="00A1433A" w:rsidP="00A1433A">
            <w:pPr>
              <w:keepNext/>
              <w:keepLines/>
              <w:jc w:val="both"/>
              <w:outlineLvl w:val="2"/>
              <w:rPr>
                <w:sz w:val="2"/>
              </w:rPr>
            </w:pPr>
          </w:p>
          <w:p w:rsidR="00A1433A" w:rsidRPr="00A1433A" w:rsidRDefault="00A1433A" w:rsidP="00A1433A">
            <w:pPr>
              <w:jc w:val="center"/>
              <w:rPr>
                <w:b/>
              </w:rPr>
            </w:pPr>
            <w:r>
              <w:rPr>
                <w:b/>
              </w:rPr>
              <w:t xml:space="preserve">Organizovanje procesa procene nacionalnog rizika </w:t>
            </w:r>
          </w:p>
          <w:p w:rsidR="00A1433A" w:rsidRPr="00A1433A" w:rsidRDefault="00A1433A" w:rsidP="00A1433A">
            <w:pPr>
              <w:jc w:val="both"/>
            </w:pPr>
            <w:r>
              <w:t xml:space="preserve">1. </w:t>
            </w:r>
            <w:r w:rsidRPr="00A1433A">
              <w:t xml:space="preserve">Ministarstvo finansija odlučuje o inicijativi  nacionalne procene rizika kao i kriterijumima na osnovu kojih se rizici vrednuju. Ministarstvo finansija pruža   političku podršku na visokom nivou i resurse potrebne za rad. Nacionalna procena rizika će biti sprovedena najmanje svake tri (3) godine, međutim Ministarstvo finansija može inicirati procenu čak i češće, ukoliko se smatra neophodnim u pogledu procesa upravljanja nacionalnim rizikom.   </w:t>
            </w:r>
          </w:p>
          <w:p w:rsidR="00A1433A" w:rsidRPr="005C5EE7" w:rsidRDefault="00A1433A" w:rsidP="00A1433A">
            <w:pPr>
              <w:pStyle w:val="ListParagraph"/>
              <w:keepNext/>
              <w:keepLines/>
              <w:spacing w:before="200"/>
              <w:ind w:left="360"/>
              <w:jc w:val="both"/>
              <w:outlineLvl w:val="2"/>
              <w:rPr>
                <w:rFonts w:ascii="Times New Roman" w:hAnsi="Times New Roman"/>
                <w:strike/>
                <w:sz w:val="24"/>
                <w:szCs w:val="24"/>
              </w:rPr>
            </w:pPr>
          </w:p>
          <w:p w:rsidR="00A1433A" w:rsidRPr="00A1433A" w:rsidRDefault="00A1433A" w:rsidP="00A1433A">
            <w:pPr>
              <w:jc w:val="both"/>
            </w:pPr>
            <w:r>
              <w:t xml:space="preserve">2. </w:t>
            </w:r>
            <w:r w:rsidRPr="00A1433A">
              <w:t>FOJ će koordinisati proces nacionalne procene rizika i  osnovati radne grupe uključujući i predstavnike privatnog sektora i javnih institucija da pomognu u prikupljanju kvantitativnih i kvalitativnih informacija potrebnih da se identifikuju rizici.FOJ-K može pozvati druge relevantne privatne institucije i druge zainteresovane strane da učestvuju u nacionalnoj proceni rizika PPP / CFT, ako se smatra potrebnim.</w:t>
            </w:r>
          </w:p>
          <w:p w:rsidR="00A1433A" w:rsidRPr="00A1433A" w:rsidRDefault="00A1433A" w:rsidP="00A1433A">
            <w:pPr>
              <w:jc w:val="both"/>
            </w:pPr>
            <w:r w:rsidRPr="00A1433A">
              <w:t xml:space="preserve">Sve javne institucije i institucije definisane kao obveznici u Zakonu o sprečavanju pranja novca i finansiranja terorizma su obavezne da podrže FOJ-K u procesu procene rizika.  </w:t>
            </w:r>
          </w:p>
          <w:p w:rsidR="00A1433A" w:rsidRPr="005C5EE7" w:rsidRDefault="00A1433A" w:rsidP="00A1433A">
            <w:pPr>
              <w:jc w:val="both"/>
            </w:pPr>
          </w:p>
          <w:p w:rsidR="00A1433A" w:rsidRDefault="00A1433A" w:rsidP="00A1433A">
            <w:pPr>
              <w:keepNext/>
              <w:keepLines/>
              <w:spacing w:before="200"/>
              <w:jc w:val="both"/>
              <w:outlineLvl w:val="2"/>
            </w:pPr>
          </w:p>
          <w:p w:rsidR="00A1433A" w:rsidRDefault="00A1433A" w:rsidP="00A1433A">
            <w:pPr>
              <w:keepNext/>
              <w:keepLines/>
              <w:jc w:val="both"/>
              <w:outlineLvl w:val="2"/>
            </w:pPr>
          </w:p>
          <w:p w:rsidR="00A1433A" w:rsidRPr="00A1433A" w:rsidRDefault="00A1433A" w:rsidP="00A1433A">
            <w:pPr>
              <w:keepNext/>
              <w:keepLines/>
              <w:jc w:val="both"/>
              <w:outlineLvl w:val="2"/>
              <w:rPr>
                <w:sz w:val="12"/>
              </w:rPr>
            </w:pPr>
          </w:p>
          <w:p w:rsidR="00A1433A" w:rsidRPr="005C5EE7" w:rsidRDefault="00A1433A" w:rsidP="00A1433A">
            <w:pPr>
              <w:jc w:val="center"/>
              <w:rPr>
                <w:b/>
              </w:rPr>
            </w:pPr>
            <w:r>
              <w:rPr>
                <w:b/>
              </w:rPr>
              <w:t>Član 5.</w:t>
            </w:r>
          </w:p>
          <w:p w:rsidR="00A1433A" w:rsidRDefault="00A1433A" w:rsidP="00A1433A">
            <w:pPr>
              <w:jc w:val="center"/>
              <w:rPr>
                <w:b/>
              </w:rPr>
            </w:pPr>
            <w:r>
              <w:rPr>
                <w:b/>
              </w:rPr>
              <w:lastRenderedPageBreak/>
              <w:t xml:space="preserve">Proces nacionalne procene rizika </w:t>
            </w:r>
          </w:p>
          <w:p w:rsidR="00A1433A" w:rsidRDefault="00A1433A" w:rsidP="00A1433A">
            <w:pPr>
              <w:jc w:val="center"/>
              <w:rPr>
                <w:b/>
              </w:rPr>
            </w:pPr>
          </w:p>
          <w:p w:rsidR="00A1433A" w:rsidRDefault="00A1433A" w:rsidP="00A1433A">
            <w:pPr>
              <w:jc w:val="center"/>
              <w:rPr>
                <w:b/>
              </w:rPr>
            </w:pPr>
          </w:p>
          <w:p w:rsidR="00A1433A" w:rsidRPr="00A1433A" w:rsidRDefault="00A1433A" w:rsidP="00A1433A">
            <w:pPr>
              <w:jc w:val="center"/>
              <w:rPr>
                <w:b/>
                <w:sz w:val="14"/>
              </w:rPr>
            </w:pPr>
          </w:p>
          <w:p w:rsidR="00A1433A" w:rsidRPr="00A1433A" w:rsidRDefault="00A1433A" w:rsidP="00A1433A">
            <w:pPr>
              <w:jc w:val="both"/>
            </w:pPr>
            <w:r>
              <w:t xml:space="preserve">1. </w:t>
            </w:r>
            <w:r w:rsidRPr="00A1433A">
              <w:t xml:space="preserve">Proces procene rizika za PP/FT se zasniva na Zakonu za PPP/LFT i smernicama FATF te drugim međunarodnim standardima. . Ova procena rizika se sastoji od sledećih faza, ali bez ograničenja smao na sledeće:  </w:t>
            </w:r>
          </w:p>
          <w:p w:rsidR="00A1433A" w:rsidRPr="005C5EE7" w:rsidRDefault="00A1433A" w:rsidP="00A1433A">
            <w:pPr>
              <w:pStyle w:val="ListParagraph"/>
              <w:keepNext/>
              <w:keepLines/>
              <w:spacing w:before="200"/>
              <w:jc w:val="both"/>
              <w:outlineLvl w:val="2"/>
              <w:rPr>
                <w:rFonts w:ascii="Times New Roman" w:hAnsi="Times New Roman"/>
                <w:sz w:val="24"/>
                <w:szCs w:val="24"/>
              </w:rPr>
            </w:pPr>
          </w:p>
          <w:p w:rsidR="00A1433A" w:rsidRPr="00A1433A" w:rsidRDefault="00A1433A" w:rsidP="00A1433A">
            <w:pPr>
              <w:ind w:left="288"/>
              <w:jc w:val="both"/>
            </w:pPr>
            <w:r>
              <w:t xml:space="preserve">1.1. </w:t>
            </w:r>
            <w:r w:rsidRPr="00A1433A">
              <w:t xml:space="preserve">Faza utvrđivanja - uključuje identifikaciju javnih, privatnih i institucija i trećeg sektora koje bi trebalo da budu uključene u proces nacionalne procene rizika.  </w:t>
            </w:r>
          </w:p>
          <w:p w:rsidR="00A1433A" w:rsidRDefault="00A1433A" w:rsidP="00A1433A">
            <w:pPr>
              <w:ind w:left="288"/>
              <w:jc w:val="both"/>
            </w:pPr>
          </w:p>
          <w:p w:rsidR="00A1433A" w:rsidRPr="00A1433A" w:rsidRDefault="00A1433A" w:rsidP="00A1433A">
            <w:pPr>
              <w:ind w:left="288"/>
              <w:jc w:val="both"/>
            </w:pPr>
            <w:r>
              <w:t xml:space="preserve">1.2. </w:t>
            </w:r>
            <w:r w:rsidRPr="00A1433A">
              <w:t xml:space="preserve">Faza identifikacije - sastoji se od procesa otkrivanja, prepoznavanja i opisivanja rizika i slabosti mehanizama prevencije. </w:t>
            </w:r>
          </w:p>
          <w:p w:rsidR="00A1433A" w:rsidRPr="005C5EE7" w:rsidRDefault="00A1433A" w:rsidP="00A1433A">
            <w:pPr>
              <w:pStyle w:val="ListParagraph"/>
              <w:keepNext/>
              <w:keepLines/>
              <w:spacing w:after="0"/>
              <w:ind w:left="288" w:hanging="708"/>
              <w:outlineLvl w:val="2"/>
              <w:rPr>
                <w:rFonts w:ascii="Times New Roman" w:hAnsi="Times New Roman"/>
                <w:sz w:val="24"/>
                <w:szCs w:val="24"/>
              </w:rPr>
            </w:pPr>
          </w:p>
          <w:p w:rsidR="00A1433A" w:rsidRPr="005C5EE7" w:rsidRDefault="00A1433A" w:rsidP="00A1433A">
            <w:pPr>
              <w:pStyle w:val="ListParagraph"/>
              <w:tabs>
                <w:tab w:val="center" w:pos="4320"/>
                <w:tab w:val="right" w:pos="8640"/>
              </w:tabs>
              <w:spacing w:after="0"/>
              <w:ind w:left="288" w:hanging="708"/>
              <w:jc w:val="both"/>
              <w:rPr>
                <w:rFonts w:ascii="Times New Roman" w:hAnsi="Times New Roman"/>
                <w:sz w:val="24"/>
                <w:szCs w:val="24"/>
              </w:rPr>
            </w:pPr>
            <w:r>
              <w:rPr>
                <w:rFonts w:ascii="Times New Roman" w:hAnsi="Times New Roman"/>
                <w:sz w:val="24"/>
                <w:szCs w:val="24"/>
              </w:rPr>
              <w:t xml:space="preserve">           </w:t>
            </w:r>
            <w:r w:rsidRPr="001C4C11">
              <w:rPr>
                <w:rFonts w:ascii="Times New Roman" w:hAnsi="Times New Roman"/>
                <w:sz w:val="24"/>
                <w:szCs w:val="24"/>
              </w:rPr>
              <w:t xml:space="preserve">Faza identifikacije se zasniva na komunikaciji i konsultaciji sa relevantnim javnim, privatnim i institucijama trećeg sektora i može uključivanje prikupljanje statistike, razgovore sa akterima, upitnike, analize postojećih procena i ostala odgovarajuća sredstva za prikupljanje kvantitativnih i kvalitativnih informacija. Rizici bi takođe trebalo da sadrže klasifikaciju konkretnog ekonomskog ili poslovnog sektora identifikovanih rizika. </w:t>
            </w:r>
            <w:r w:rsidRPr="0006358B">
              <w:rPr>
                <w:rFonts w:ascii="Times New Roman" w:hAnsi="Times New Roman"/>
                <w:sz w:val="24"/>
                <w:szCs w:val="24"/>
              </w:rPr>
              <w:t xml:space="preserve">Svrha faze identifikacije je da se identifikuju </w:t>
            </w:r>
            <w:r w:rsidRPr="0006358B">
              <w:rPr>
                <w:rFonts w:ascii="Times New Roman" w:hAnsi="Times New Roman"/>
                <w:sz w:val="24"/>
                <w:szCs w:val="24"/>
              </w:rPr>
              <w:lastRenderedPageBreak/>
              <w:t>uzroci i slabosti koje mogu predstavljati rizik. Treba uzeti u obzir uzroke i potencijalne posledice.</w:t>
            </w:r>
          </w:p>
          <w:p w:rsidR="00A1433A" w:rsidRPr="005C5EE7" w:rsidRDefault="00A1433A" w:rsidP="00A1433A">
            <w:pPr>
              <w:pStyle w:val="ListParagraph"/>
              <w:keepNext/>
              <w:keepLines/>
              <w:spacing w:after="0"/>
              <w:ind w:left="288" w:hanging="708"/>
              <w:jc w:val="both"/>
              <w:outlineLvl w:val="2"/>
              <w:rPr>
                <w:rFonts w:ascii="Times New Roman" w:hAnsi="Times New Roman"/>
                <w:sz w:val="24"/>
                <w:szCs w:val="24"/>
              </w:rPr>
            </w:pPr>
          </w:p>
          <w:p w:rsidR="00A1433A" w:rsidRPr="00A1433A" w:rsidRDefault="00A1433A" w:rsidP="00A1433A">
            <w:pPr>
              <w:ind w:left="288"/>
              <w:jc w:val="both"/>
            </w:pPr>
            <w:r>
              <w:t xml:space="preserve">1.3. </w:t>
            </w:r>
            <w:r w:rsidRPr="00A1433A">
              <w:t xml:space="preserve">Faza analize rizika - obuhvata utvrđivanje posledica i verovatnost za identifikovane događaje koje čine rizik. Treba identifikovati o komibnovati faktore koji utiču na posledice da bi se identifikovao nivo rizika. Cilj ove faze je da se definišu priroda, izvori, verovatnoća i posledice rizika. Rizici se predstavljaju odvojeno u sopstvenim poglavljima za pranje novca i finansiranje terorizma. Takođe su predstavljeni horizontalni rizici vezano za obe oblasti.  </w:t>
            </w:r>
          </w:p>
          <w:p w:rsidR="00A1433A" w:rsidRPr="005C5EE7" w:rsidRDefault="00A1433A" w:rsidP="00A1433A">
            <w:pPr>
              <w:ind w:left="288" w:hanging="708"/>
              <w:jc w:val="both"/>
            </w:pPr>
          </w:p>
          <w:p w:rsidR="00A1433A" w:rsidRDefault="00A1433A" w:rsidP="00A1433A">
            <w:pPr>
              <w:ind w:left="288"/>
              <w:jc w:val="both"/>
            </w:pPr>
            <w:r>
              <w:t xml:space="preserve">1.4. </w:t>
            </w:r>
            <w:r w:rsidRPr="00A1433A">
              <w:t>Faza vrednovanja sastoji se od prioritizacije identifikovanih rizika. Ovo se zasniva na posledicama i verovatnost u vezi sa definisanim kriterijumima rizika. Faza procene treba da uključi i mere tretiranja za prioritetne rizike. Rizici su posebno prikazani kao zasebna poglavlja za pranje novca i finansiranje terorizma. Prikazani su i horizontalni rizici povezani sa obe oblasti. Procena takođe uključuje odluku da li bi rizik  trebao:</w:t>
            </w:r>
          </w:p>
          <w:p w:rsidR="00A1433A" w:rsidRDefault="00A1433A" w:rsidP="00A1433A">
            <w:pPr>
              <w:ind w:left="288"/>
              <w:jc w:val="both"/>
            </w:pPr>
          </w:p>
          <w:p w:rsidR="00A1433A" w:rsidRPr="00A1433A" w:rsidRDefault="00A1433A" w:rsidP="00A1433A">
            <w:pPr>
              <w:ind w:left="288"/>
              <w:jc w:val="both"/>
            </w:pPr>
          </w:p>
          <w:p w:rsidR="00A1433A" w:rsidRDefault="00A1433A" w:rsidP="00A1433A">
            <w:pPr>
              <w:spacing w:before="120" w:after="120"/>
              <w:ind w:left="846"/>
              <w:jc w:val="both"/>
            </w:pPr>
            <w:r>
              <w:t>1.4</w:t>
            </w:r>
            <w:r>
              <w:t xml:space="preserve">.1. </w:t>
            </w:r>
            <w:r w:rsidRPr="005C5EE7">
              <w:t>Odmah obraditi;</w:t>
            </w:r>
          </w:p>
          <w:p w:rsidR="00A1433A" w:rsidRDefault="00A1433A" w:rsidP="00A1433A">
            <w:pPr>
              <w:spacing w:before="120" w:after="120"/>
              <w:ind w:left="846"/>
              <w:jc w:val="both"/>
            </w:pPr>
            <w:r>
              <w:t>1.4</w:t>
            </w:r>
            <w:r>
              <w:t>.2.</w:t>
            </w:r>
            <w:r w:rsidRPr="005C5EE7">
              <w:t>Obraditi što pre</w:t>
            </w:r>
            <w:r>
              <w:t xml:space="preserve"> moguće</w:t>
            </w:r>
            <w:r w:rsidRPr="005C5EE7">
              <w:t>;</w:t>
            </w:r>
          </w:p>
          <w:p w:rsidR="00A1433A" w:rsidRDefault="00A1433A" w:rsidP="00A1433A">
            <w:pPr>
              <w:spacing w:before="120" w:after="120"/>
              <w:ind w:left="846"/>
              <w:jc w:val="both"/>
            </w:pPr>
          </w:p>
          <w:p w:rsidR="00A1433A" w:rsidRDefault="00A1433A" w:rsidP="00A1433A">
            <w:pPr>
              <w:spacing w:before="120" w:after="120"/>
              <w:ind w:left="846"/>
              <w:jc w:val="both"/>
            </w:pPr>
            <w:r>
              <w:lastRenderedPageBreak/>
              <w:t>1.4</w:t>
            </w:r>
            <w:r>
              <w:t>.3.Obraditi pravovremeno:</w:t>
            </w:r>
          </w:p>
          <w:p w:rsidR="00A1433A" w:rsidRDefault="00A1433A" w:rsidP="00A1433A">
            <w:pPr>
              <w:spacing w:before="120" w:after="120"/>
              <w:ind w:left="846"/>
              <w:jc w:val="both"/>
            </w:pPr>
            <w:r>
              <w:t>1.4</w:t>
            </w:r>
            <w:r>
              <w:t>.4.Pratiti bez daljih mera.</w:t>
            </w:r>
          </w:p>
          <w:p w:rsidR="00A1433A" w:rsidRPr="00A1433A" w:rsidRDefault="00A1433A" w:rsidP="00A1433A">
            <w:pPr>
              <w:spacing w:before="120" w:after="120"/>
              <w:jc w:val="both"/>
            </w:pPr>
          </w:p>
          <w:p w:rsidR="00A1433A" w:rsidRPr="005C5EE7" w:rsidRDefault="00A1433A" w:rsidP="00A1433A">
            <w:pPr>
              <w:jc w:val="center"/>
              <w:rPr>
                <w:b/>
              </w:rPr>
            </w:pPr>
            <w:r>
              <w:rPr>
                <w:b/>
              </w:rPr>
              <w:t>Član 6.</w:t>
            </w:r>
          </w:p>
          <w:p w:rsidR="00A1433A" w:rsidRDefault="00A1433A" w:rsidP="00A1433A">
            <w:pPr>
              <w:jc w:val="center"/>
              <w:rPr>
                <w:b/>
              </w:rPr>
            </w:pPr>
            <w:r>
              <w:rPr>
                <w:b/>
              </w:rPr>
              <w:t xml:space="preserve">Forma i struktura nacionalne procene rizika </w:t>
            </w:r>
          </w:p>
          <w:p w:rsidR="00A1433A" w:rsidRPr="00A1433A" w:rsidRDefault="00A1433A" w:rsidP="00A1433A">
            <w:pPr>
              <w:jc w:val="center"/>
              <w:rPr>
                <w:b/>
                <w:sz w:val="18"/>
              </w:rPr>
            </w:pPr>
          </w:p>
          <w:p w:rsidR="00A1433A" w:rsidRDefault="00A1433A" w:rsidP="00A1433A">
            <w:pPr>
              <w:spacing w:before="240"/>
              <w:jc w:val="both"/>
            </w:pPr>
            <w:r>
              <w:t xml:space="preserve">FOJ-K će dokumentovati proces procene rizika za pranje novca, finansiranje terorizma i neformalnu ekonomiju i svoje rezultate u izveštaju koji će sadržati najmanje sledeće: </w:t>
            </w:r>
          </w:p>
          <w:p w:rsidR="00A1433A" w:rsidRDefault="00A1433A" w:rsidP="00A1433A">
            <w:pPr>
              <w:jc w:val="both"/>
            </w:pPr>
          </w:p>
          <w:p w:rsidR="00A1433A" w:rsidRPr="005C5EE7" w:rsidRDefault="00A1433A" w:rsidP="00A1433A">
            <w:pPr>
              <w:jc w:val="both"/>
            </w:pPr>
          </w:p>
          <w:p w:rsidR="00A1433A" w:rsidRDefault="00A1433A" w:rsidP="00A1433A">
            <w:pPr>
              <w:spacing w:before="120" w:after="120"/>
              <w:ind w:left="720"/>
              <w:jc w:val="both"/>
            </w:pPr>
            <w:r>
              <w:t>1.1.Određivanje delokruga i kriterija procene rizika</w:t>
            </w:r>
            <w:r>
              <w:t>;</w:t>
            </w:r>
            <w:r>
              <w:t xml:space="preserve"> </w:t>
            </w:r>
          </w:p>
          <w:p w:rsidR="00A1433A" w:rsidRDefault="00A1433A" w:rsidP="00A1433A">
            <w:pPr>
              <w:spacing w:before="120" w:after="120"/>
              <w:ind w:left="720"/>
              <w:jc w:val="both"/>
            </w:pPr>
            <w:r>
              <w:t xml:space="preserve">1.2.Identifikaciju institucija angažovanih u procesu </w:t>
            </w:r>
            <w:r>
              <w:t>;</w:t>
            </w:r>
          </w:p>
          <w:p w:rsidR="00A1433A" w:rsidRDefault="00A1433A" w:rsidP="00A1433A">
            <w:pPr>
              <w:spacing w:before="120" w:after="120"/>
              <w:ind w:left="720"/>
              <w:jc w:val="both"/>
            </w:pPr>
            <w:r>
              <w:t>1.3.Metodologiju korišćenu za procenu rizika</w:t>
            </w:r>
            <w:r>
              <w:t>;</w:t>
            </w:r>
          </w:p>
          <w:p w:rsidR="00A1433A" w:rsidRDefault="00A1433A" w:rsidP="00A1433A">
            <w:pPr>
              <w:spacing w:before="120" w:after="120"/>
              <w:ind w:left="720"/>
              <w:jc w:val="both"/>
            </w:pPr>
            <w:r>
              <w:t xml:space="preserve">1.4.Identifikaciju rizika- horizontalni, pranje novca i finansiranje terorizma </w:t>
            </w:r>
            <w:r>
              <w:t>;</w:t>
            </w:r>
          </w:p>
          <w:p w:rsidR="00A1433A" w:rsidRDefault="00A1433A" w:rsidP="00A1433A">
            <w:pPr>
              <w:spacing w:before="120" w:after="120"/>
              <w:ind w:left="720"/>
              <w:jc w:val="both"/>
            </w:pPr>
            <w:r>
              <w:t>1.5Analizu horizontalnih rizika</w:t>
            </w:r>
            <w:r>
              <w:t>;</w:t>
            </w:r>
          </w:p>
          <w:p w:rsidR="00A1433A" w:rsidRDefault="00A1433A" w:rsidP="00A1433A">
            <w:pPr>
              <w:spacing w:before="120" w:after="120"/>
              <w:ind w:left="720"/>
              <w:jc w:val="both"/>
            </w:pPr>
            <w:r>
              <w:t>1.6.Analizu rizika za pranje novca</w:t>
            </w:r>
            <w:r>
              <w:t>;</w:t>
            </w:r>
          </w:p>
          <w:p w:rsidR="00A1433A" w:rsidRDefault="00A1433A" w:rsidP="00A1433A">
            <w:pPr>
              <w:spacing w:before="120" w:after="120"/>
              <w:ind w:left="720"/>
              <w:jc w:val="both"/>
            </w:pPr>
          </w:p>
          <w:p w:rsidR="00A1433A" w:rsidRDefault="00A1433A" w:rsidP="00A1433A">
            <w:pPr>
              <w:spacing w:before="120" w:after="120"/>
              <w:ind w:left="720"/>
              <w:jc w:val="both"/>
            </w:pPr>
            <w:r>
              <w:t>1.7.Analizu rizika za finansiranje terorizma</w:t>
            </w:r>
            <w:r>
              <w:t>;</w:t>
            </w:r>
          </w:p>
          <w:p w:rsidR="00A1433A" w:rsidRDefault="00A1433A" w:rsidP="00A1433A">
            <w:pPr>
              <w:spacing w:before="120" w:after="120"/>
              <w:ind w:left="720"/>
              <w:jc w:val="both"/>
            </w:pPr>
          </w:p>
          <w:p w:rsidR="00A1433A" w:rsidRDefault="00A1433A" w:rsidP="00A1433A">
            <w:pPr>
              <w:spacing w:before="120" w:after="120"/>
              <w:ind w:left="720"/>
              <w:jc w:val="both"/>
            </w:pPr>
            <w:r>
              <w:t>1.8.Vrednovanje rizika</w:t>
            </w:r>
            <w:r>
              <w:t>;</w:t>
            </w:r>
          </w:p>
          <w:p w:rsidR="00A1433A" w:rsidRDefault="00A1433A" w:rsidP="00A1433A">
            <w:pPr>
              <w:spacing w:before="120" w:after="120"/>
              <w:jc w:val="both"/>
            </w:pPr>
          </w:p>
          <w:p w:rsidR="00A1433A" w:rsidRDefault="00A1433A" w:rsidP="00A1433A">
            <w:pPr>
              <w:spacing w:before="120" w:after="120"/>
              <w:ind w:left="720"/>
              <w:jc w:val="both"/>
            </w:pPr>
            <w:r>
              <w:lastRenderedPageBreak/>
              <w:t xml:space="preserve">1.9.Akcioni plan u vezi sa merama obrade za rizike kojima je dat prioritet; </w:t>
            </w:r>
          </w:p>
          <w:p w:rsidR="00A1433A" w:rsidRDefault="00A1433A" w:rsidP="00A1433A">
            <w:pPr>
              <w:spacing w:before="120" w:after="120"/>
              <w:ind w:left="720"/>
              <w:jc w:val="both"/>
            </w:pPr>
            <w:r>
              <w:t xml:space="preserve">1.10.Preporuke o širenju i publicitetu procene rizika i akcionog plana </w:t>
            </w:r>
          </w:p>
          <w:p w:rsidR="00A1433A" w:rsidRDefault="00A1433A" w:rsidP="00A1433A">
            <w:pPr>
              <w:pStyle w:val="NoSpacing"/>
              <w:spacing w:before="120" w:after="120"/>
            </w:pPr>
          </w:p>
          <w:p w:rsidR="00A1433A" w:rsidRPr="005C5EE7" w:rsidRDefault="00A1433A" w:rsidP="00A1433A">
            <w:pPr>
              <w:keepNext/>
              <w:keepLines/>
              <w:spacing w:before="200" w:after="160" w:line="259" w:lineRule="auto"/>
              <w:outlineLvl w:val="2"/>
              <w:rPr>
                <w:b/>
              </w:rPr>
            </w:pPr>
          </w:p>
          <w:p w:rsidR="00A1433A" w:rsidRPr="005C5EE7" w:rsidRDefault="00A1433A" w:rsidP="00A1433A">
            <w:pPr>
              <w:pStyle w:val="NoSpacing"/>
              <w:jc w:val="center"/>
              <w:rPr>
                <w:b/>
              </w:rPr>
            </w:pPr>
            <w:proofErr w:type="spellStart"/>
            <w:r>
              <w:rPr>
                <w:b/>
              </w:rPr>
              <w:t>Član</w:t>
            </w:r>
            <w:proofErr w:type="spellEnd"/>
            <w:r>
              <w:rPr>
                <w:b/>
              </w:rPr>
              <w:t xml:space="preserve"> 7.</w:t>
            </w:r>
          </w:p>
          <w:p w:rsidR="00A1433A" w:rsidRPr="005C5EE7" w:rsidRDefault="00A1433A" w:rsidP="00A1433A">
            <w:pPr>
              <w:pStyle w:val="NoSpacing"/>
              <w:jc w:val="center"/>
              <w:rPr>
                <w:b/>
              </w:rPr>
            </w:pPr>
            <w:proofErr w:type="spellStart"/>
            <w:r>
              <w:rPr>
                <w:b/>
              </w:rPr>
              <w:t>Odobrenje</w:t>
            </w:r>
            <w:proofErr w:type="spellEnd"/>
            <w:r>
              <w:rPr>
                <w:b/>
              </w:rPr>
              <w:t xml:space="preserve">, </w:t>
            </w:r>
            <w:proofErr w:type="spellStart"/>
            <w:r>
              <w:rPr>
                <w:b/>
              </w:rPr>
              <w:t>širenje</w:t>
            </w:r>
            <w:proofErr w:type="spellEnd"/>
            <w:r>
              <w:rPr>
                <w:b/>
              </w:rPr>
              <w:t xml:space="preserve"> </w:t>
            </w:r>
            <w:proofErr w:type="spellStart"/>
            <w:r>
              <w:rPr>
                <w:b/>
              </w:rPr>
              <w:t>informacija</w:t>
            </w:r>
            <w:proofErr w:type="spellEnd"/>
            <w:r>
              <w:rPr>
                <w:b/>
              </w:rPr>
              <w:t xml:space="preserve"> i publicitet </w:t>
            </w:r>
            <w:proofErr w:type="spellStart"/>
            <w:r>
              <w:rPr>
                <w:b/>
              </w:rPr>
              <w:t>nacionalne</w:t>
            </w:r>
            <w:proofErr w:type="spellEnd"/>
            <w:r>
              <w:rPr>
                <w:b/>
              </w:rPr>
              <w:t xml:space="preserve"> </w:t>
            </w:r>
            <w:proofErr w:type="spellStart"/>
            <w:r>
              <w:rPr>
                <w:b/>
              </w:rPr>
              <w:t>procene</w:t>
            </w:r>
            <w:proofErr w:type="spellEnd"/>
            <w:r>
              <w:rPr>
                <w:b/>
              </w:rPr>
              <w:t xml:space="preserve"> </w:t>
            </w:r>
            <w:proofErr w:type="spellStart"/>
            <w:r>
              <w:rPr>
                <w:b/>
              </w:rPr>
              <w:t>rizika</w:t>
            </w:r>
            <w:proofErr w:type="spellEnd"/>
            <w:r>
              <w:rPr>
                <w:b/>
              </w:rPr>
              <w:t xml:space="preserve"> </w:t>
            </w:r>
          </w:p>
          <w:p w:rsidR="00A1433A" w:rsidRPr="005C5EE7" w:rsidRDefault="00A1433A" w:rsidP="00A1433A">
            <w:pPr>
              <w:pStyle w:val="NoSpacing"/>
              <w:keepNext/>
              <w:keepLines/>
              <w:spacing w:before="480"/>
              <w:jc w:val="center"/>
              <w:outlineLvl w:val="0"/>
              <w:rPr>
                <w:b/>
              </w:rPr>
            </w:pPr>
          </w:p>
          <w:p w:rsidR="00A1433A" w:rsidRDefault="00A1433A" w:rsidP="00A1433A">
            <w:pPr>
              <w:jc w:val="both"/>
            </w:pPr>
            <w:r w:rsidRPr="001C4C11">
              <w:t>F</w:t>
            </w:r>
            <w:r>
              <w:t>OJ</w:t>
            </w:r>
            <w:r w:rsidRPr="001C4C11">
              <w:t>-K podnosi izveštaj koji sadrži nacionalnu procenu rizika o pranju novca, finansiranju terorizma i neformalnoj ekonomiji Ministarstvu finansija koje će isti predočiti</w:t>
            </w:r>
            <w:r>
              <w:t xml:space="preserve"> i predložiti</w:t>
            </w:r>
            <w:r w:rsidRPr="001C4C11">
              <w:t xml:space="preserve"> Vladi Republike Kosovo na odobrenje.</w:t>
            </w:r>
          </w:p>
          <w:p w:rsidR="00A1433A" w:rsidRPr="005C5EE7" w:rsidRDefault="00A1433A" w:rsidP="00A1433A">
            <w:pPr>
              <w:jc w:val="both"/>
            </w:pPr>
          </w:p>
          <w:p w:rsidR="00A1433A" w:rsidRPr="00A1433A" w:rsidRDefault="00A1433A" w:rsidP="00A1433A">
            <w:pPr>
              <w:jc w:val="both"/>
            </w:pPr>
            <w:r w:rsidRPr="001C4C11">
              <w:t xml:space="preserve">Na predlog Ministarstva finansija, Vlada Republike Kosovo odlučuje o </w:t>
            </w:r>
            <w:r>
              <w:t xml:space="preserve">distribuciji  i publikaciji </w:t>
            </w:r>
            <w:r w:rsidRPr="001C4C11">
              <w:t xml:space="preserve">informacija i nacionalne procene rizika i akcionog plana o pranju novca, finansiranju terorizma i neformalnoj ekonomiji. Ukoliko nacionalna procena ne bude objavljena, </w:t>
            </w:r>
            <w:r>
              <w:t xml:space="preserve">onda se objavljuje sažetak procene </w:t>
            </w:r>
            <w:r w:rsidRPr="001C4C11">
              <w:t xml:space="preserve"> i spisak potrebnih mera </w:t>
            </w:r>
            <w:r>
              <w:t xml:space="preserve">koje se odmah preduzimaju. </w:t>
            </w:r>
            <w:r w:rsidRPr="001C4C11">
              <w:t xml:space="preserve"> . Na osnovu rizika kojima je dat prioritet Vlada Republike Kosovo odlučuje o strategijama i drugim meram</w:t>
            </w:r>
            <w:r>
              <w:t xml:space="preserve">a obrade na nacionalnom nivou. </w:t>
            </w:r>
          </w:p>
          <w:p w:rsidR="00A1433A" w:rsidRDefault="00A1433A" w:rsidP="00A1433A">
            <w:pPr>
              <w:spacing w:line="259" w:lineRule="auto"/>
              <w:rPr>
                <w:rFonts w:eastAsia="Times New Roman"/>
              </w:rPr>
            </w:pPr>
          </w:p>
          <w:p w:rsidR="00A1433A" w:rsidRDefault="00A1433A" w:rsidP="00A1433A">
            <w:pPr>
              <w:spacing w:line="259" w:lineRule="auto"/>
              <w:rPr>
                <w:rFonts w:eastAsia="Times New Roman"/>
              </w:rPr>
            </w:pPr>
          </w:p>
          <w:p w:rsidR="00A1433A" w:rsidRPr="00A1433A" w:rsidRDefault="00A1433A" w:rsidP="00A1433A">
            <w:pPr>
              <w:spacing w:line="259" w:lineRule="auto"/>
              <w:rPr>
                <w:rFonts w:eastAsia="Times New Roman"/>
                <w:sz w:val="12"/>
              </w:rPr>
            </w:pPr>
          </w:p>
          <w:p w:rsidR="00A1433A" w:rsidRPr="005C5EE7" w:rsidRDefault="00A1433A" w:rsidP="00A1433A">
            <w:pPr>
              <w:jc w:val="both"/>
              <w:rPr>
                <w:rFonts w:eastAsia="Times New Roman"/>
              </w:rPr>
            </w:pPr>
          </w:p>
          <w:p w:rsidR="00A1433A" w:rsidRPr="005C5EE7" w:rsidRDefault="00A1433A" w:rsidP="00A1433A">
            <w:pPr>
              <w:jc w:val="center"/>
              <w:rPr>
                <w:rFonts w:eastAsia="Times New Roman"/>
                <w:b/>
              </w:rPr>
            </w:pPr>
            <w:r w:rsidRPr="001C4C11">
              <w:rPr>
                <w:rFonts w:eastAsia="Times New Roman"/>
                <w:b/>
              </w:rPr>
              <w:t>Član 8.</w:t>
            </w:r>
          </w:p>
          <w:p w:rsidR="00A1433A" w:rsidRPr="005C5EE7" w:rsidRDefault="00A1433A" w:rsidP="00A1433A">
            <w:pPr>
              <w:jc w:val="center"/>
              <w:rPr>
                <w:rFonts w:eastAsia="Times New Roman"/>
                <w:b/>
              </w:rPr>
            </w:pPr>
            <w:r w:rsidRPr="001C4C11">
              <w:rPr>
                <w:rFonts w:eastAsia="Times New Roman"/>
                <w:b/>
              </w:rPr>
              <w:t>Stupanje na snagu</w:t>
            </w:r>
          </w:p>
          <w:p w:rsidR="00A1433A" w:rsidRDefault="00A1433A" w:rsidP="00A1433A">
            <w:pPr>
              <w:jc w:val="both"/>
              <w:rPr>
                <w:rFonts w:eastAsia="Times New Roman"/>
              </w:rPr>
            </w:pPr>
          </w:p>
          <w:p w:rsidR="00A1433A" w:rsidRDefault="00A1433A" w:rsidP="00A1433A">
            <w:pPr>
              <w:jc w:val="both"/>
              <w:rPr>
                <w:rFonts w:eastAsia="Times New Roman"/>
              </w:rPr>
            </w:pPr>
          </w:p>
          <w:p w:rsidR="00A1433A" w:rsidRDefault="00B96A78" w:rsidP="00A1433A">
            <w:pPr>
              <w:jc w:val="both"/>
              <w:rPr>
                <w:rFonts w:eastAsia="Times New Roman"/>
              </w:rPr>
            </w:pPr>
            <w:r>
              <w:rPr>
                <w:rFonts w:eastAsia="Times New Roman"/>
              </w:rPr>
              <w:t xml:space="preserve">1. </w:t>
            </w:r>
            <w:r w:rsidR="00A1433A">
              <w:rPr>
                <w:rFonts w:eastAsia="Times New Roman"/>
              </w:rPr>
              <w:t>Ovo Administrativno upustvo ukida</w:t>
            </w:r>
            <w:r w:rsidR="00A1433A" w:rsidRPr="00F73998">
              <w:rPr>
                <w:rFonts w:eastAsia="Times New Roman"/>
              </w:rPr>
              <w:t xml:space="preserve"> Adminis</w:t>
            </w:r>
            <w:r w:rsidR="00A1433A">
              <w:rPr>
                <w:rFonts w:eastAsia="Times New Roman"/>
              </w:rPr>
              <w:t>trativno uputstvo Ministarstva f</w:t>
            </w:r>
            <w:r w:rsidR="00A1433A" w:rsidRPr="00F73998">
              <w:rPr>
                <w:rFonts w:eastAsia="Times New Roman"/>
              </w:rPr>
              <w:t xml:space="preserve">inansija br. 04/2013 od </w:t>
            </w:r>
            <w:r w:rsidR="00A1433A">
              <w:rPr>
                <w:rFonts w:eastAsia="Times New Roman"/>
              </w:rPr>
              <w:t>dana 06.09.2013. g</w:t>
            </w:r>
            <w:r w:rsidR="00A1433A" w:rsidRPr="00F73998">
              <w:rPr>
                <w:rFonts w:eastAsia="Times New Roman"/>
              </w:rPr>
              <w:t xml:space="preserve">odine o Nacionalnoj proceni rizika </w:t>
            </w:r>
            <w:r w:rsidR="00A1433A">
              <w:rPr>
                <w:rFonts w:eastAsia="Times New Roman"/>
              </w:rPr>
              <w:t xml:space="preserve">pranja novca i </w:t>
            </w:r>
            <w:r w:rsidR="00A1433A" w:rsidRPr="00F73998">
              <w:rPr>
                <w:rFonts w:eastAsia="Times New Roman"/>
              </w:rPr>
              <w:t xml:space="preserve">finansiranju </w:t>
            </w:r>
            <w:r w:rsidR="00A1433A">
              <w:rPr>
                <w:rFonts w:eastAsia="Times New Roman"/>
              </w:rPr>
              <w:t>te</w:t>
            </w:r>
            <w:r w:rsidR="00A1433A" w:rsidRPr="00F73998">
              <w:rPr>
                <w:rFonts w:eastAsia="Times New Roman"/>
              </w:rPr>
              <w:t>rorizma</w:t>
            </w:r>
            <w:r w:rsidR="00A1433A">
              <w:rPr>
                <w:rFonts w:eastAsia="Times New Roman"/>
              </w:rPr>
              <w:t>.</w:t>
            </w:r>
          </w:p>
          <w:p w:rsidR="00B96A78" w:rsidRDefault="00B96A78" w:rsidP="00A1433A">
            <w:pPr>
              <w:jc w:val="both"/>
              <w:rPr>
                <w:rFonts w:eastAsia="Times New Roman"/>
              </w:rPr>
            </w:pPr>
          </w:p>
          <w:p w:rsidR="00A1433A" w:rsidRDefault="00B96A78" w:rsidP="00A1433A">
            <w:pPr>
              <w:jc w:val="both"/>
              <w:rPr>
                <w:rFonts w:eastAsia="Times New Roman"/>
              </w:rPr>
            </w:pPr>
            <w:r>
              <w:rPr>
                <w:rFonts w:eastAsia="Times New Roman"/>
              </w:rPr>
              <w:t xml:space="preserve">2. </w:t>
            </w:r>
            <w:r w:rsidR="00A1433A">
              <w:rPr>
                <w:rFonts w:eastAsia="Times New Roman"/>
              </w:rPr>
              <w:t xml:space="preserve">Ovo Adinistrativno uputstvo stupa na snagu 7 dana nakon njene publikacije.  </w:t>
            </w:r>
          </w:p>
          <w:p w:rsidR="00A1433A" w:rsidRDefault="00A1433A" w:rsidP="00A1433A">
            <w:pPr>
              <w:keepNext/>
              <w:keepLines/>
              <w:spacing w:before="200"/>
              <w:jc w:val="both"/>
              <w:outlineLvl w:val="2"/>
              <w:rPr>
                <w:rFonts w:eastAsia="Times New Roman"/>
              </w:rPr>
            </w:pPr>
          </w:p>
          <w:p w:rsidR="008A4E80" w:rsidRDefault="008A4E80" w:rsidP="00B96A78">
            <w:pPr>
              <w:rPr>
                <w:rFonts w:eastAsia="Times New Roman"/>
              </w:rPr>
            </w:pPr>
          </w:p>
          <w:p w:rsidR="00B96A78" w:rsidRDefault="00B96A78" w:rsidP="00B96A78">
            <w:pPr>
              <w:rPr>
                <w:rFonts w:eastAsia="Times New Roman"/>
              </w:rPr>
            </w:pPr>
          </w:p>
          <w:p w:rsidR="00B96A78" w:rsidRDefault="00B96A78" w:rsidP="00B96A78">
            <w:pPr>
              <w:rPr>
                <w:rFonts w:eastAsia="Times New Roman"/>
              </w:rPr>
            </w:pPr>
          </w:p>
          <w:p w:rsidR="00B96A78" w:rsidRPr="000127F8" w:rsidRDefault="00B96A78" w:rsidP="00B96A78">
            <w:pPr>
              <w:autoSpaceDE w:val="0"/>
              <w:autoSpaceDN w:val="0"/>
              <w:adjustRightInd w:val="0"/>
              <w:jc w:val="right"/>
              <w:rPr>
                <w:rFonts w:eastAsia="Times New Roman"/>
                <w:lang w:val="sr-Latn-RS"/>
              </w:rPr>
            </w:pPr>
            <w:r w:rsidRPr="000127F8">
              <w:rPr>
                <w:rFonts w:eastAsia="Times New Roman"/>
                <w:lang w:val="sr-Latn-RS"/>
              </w:rPr>
              <w:t xml:space="preserve">Bedri Hamza </w:t>
            </w:r>
          </w:p>
          <w:p w:rsidR="00B96A78" w:rsidRPr="000127F8" w:rsidRDefault="00B96A78" w:rsidP="00B96A78">
            <w:pPr>
              <w:autoSpaceDE w:val="0"/>
              <w:autoSpaceDN w:val="0"/>
              <w:adjustRightInd w:val="0"/>
              <w:jc w:val="right"/>
              <w:rPr>
                <w:rFonts w:eastAsia="Times New Roman"/>
                <w:lang w:val="sr-Latn-RS"/>
              </w:rPr>
            </w:pPr>
          </w:p>
          <w:p w:rsidR="00B96A78" w:rsidRPr="000127F8" w:rsidRDefault="00B96A78" w:rsidP="00B96A78">
            <w:pPr>
              <w:autoSpaceDE w:val="0"/>
              <w:autoSpaceDN w:val="0"/>
              <w:adjustRightInd w:val="0"/>
              <w:jc w:val="right"/>
              <w:rPr>
                <w:rFonts w:eastAsia="Times New Roman"/>
                <w:lang w:val="sr-Latn-RS"/>
              </w:rPr>
            </w:pPr>
            <w:r w:rsidRPr="000127F8">
              <w:rPr>
                <w:rFonts w:eastAsia="Times New Roman"/>
                <w:lang w:val="sr-Latn-RS"/>
              </w:rPr>
              <w:t>__________________</w:t>
            </w:r>
          </w:p>
          <w:p w:rsidR="00B96A78" w:rsidRPr="000127F8" w:rsidRDefault="00B96A78" w:rsidP="00B96A78">
            <w:pPr>
              <w:autoSpaceDE w:val="0"/>
              <w:autoSpaceDN w:val="0"/>
              <w:adjustRightInd w:val="0"/>
              <w:jc w:val="right"/>
              <w:rPr>
                <w:rFonts w:eastAsia="Times New Roman"/>
                <w:lang w:val="sr-Latn-RS"/>
              </w:rPr>
            </w:pPr>
            <w:r w:rsidRPr="000127F8">
              <w:rPr>
                <w:rFonts w:eastAsia="Times New Roman"/>
                <w:lang w:val="sr-Latn-RS"/>
              </w:rPr>
              <w:t>Ministar  Finansija</w:t>
            </w:r>
          </w:p>
          <w:p w:rsidR="00B96A78" w:rsidRPr="005C5EE7" w:rsidRDefault="00B96A78" w:rsidP="00B96A78">
            <w:r w:rsidRPr="000127F8">
              <w:rPr>
                <w:rFonts w:eastAsia="Times New Roman"/>
                <w:lang w:val="sr-Latn-RS"/>
              </w:rPr>
              <w:t xml:space="preserve">       </w:t>
            </w:r>
            <w:r>
              <w:rPr>
                <w:rFonts w:eastAsia="Times New Roman"/>
                <w:lang w:val="sr-Latn-RS"/>
              </w:rPr>
              <w:t xml:space="preserve">                           Datum: ___/___/____</w:t>
            </w:r>
          </w:p>
        </w:tc>
      </w:tr>
    </w:tbl>
    <w:p w:rsidR="00C6368B" w:rsidRPr="005C5EE7" w:rsidRDefault="00C6368B" w:rsidP="00E11130">
      <w:pPr>
        <w:jc w:val="both"/>
      </w:pPr>
    </w:p>
    <w:p w:rsidR="005F3C47" w:rsidRPr="005C5EE7" w:rsidRDefault="005F3C47">
      <w:pPr>
        <w:jc w:val="both"/>
      </w:pPr>
    </w:p>
    <w:sectPr w:rsidR="005F3C47" w:rsidRPr="005C5EE7" w:rsidSect="00C6787F">
      <w:headerReference w:type="even" r:id="rId9"/>
      <w:headerReference w:type="default" r:id="rId10"/>
      <w:footerReference w:type="even" r:id="rId11"/>
      <w:footerReference w:type="default" r:id="rId12"/>
      <w:pgSz w:w="15840" w:h="12240" w:orient="landscape"/>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85E" w:rsidRDefault="005B785E" w:rsidP="00FA5DA9">
      <w:r>
        <w:separator/>
      </w:r>
    </w:p>
  </w:endnote>
  <w:endnote w:type="continuationSeparator" w:id="0">
    <w:p w:rsidR="005B785E" w:rsidRDefault="005B785E" w:rsidP="00FA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NPF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7F" w:rsidRDefault="00BF2B7F" w:rsidP="00C678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2B7F" w:rsidRDefault="00BF2B7F" w:rsidP="00C678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5548"/>
      <w:docPartObj>
        <w:docPartGallery w:val="Page Numbers (Bottom of Page)"/>
        <w:docPartUnique/>
      </w:docPartObj>
    </w:sdtPr>
    <w:sdtEndPr/>
    <w:sdtContent>
      <w:sdt>
        <w:sdtPr>
          <w:id w:val="565050477"/>
          <w:docPartObj>
            <w:docPartGallery w:val="Page Numbers (Top of Page)"/>
            <w:docPartUnique/>
          </w:docPartObj>
        </w:sdtPr>
        <w:sdtEndPr/>
        <w:sdtContent>
          <w:p w:rsidR="00BF2B7F" w:rsidRDefault="00BF2B7F">
            <w:pPr>
              <w:pStyle w:val="Footer"/>
              <w:jc w:val="center"/>
            </w:pPr>
            <w:r w:rsidRPr="005852F9">
              <w:rPr>
                <w:sz w:val="20"/>
                <w:szCs w:val="20"/>
              </w:rPr>
              <w:t xml:space="preserve">Page </w:t>
            </w:r>
            <w:r w:rsidRPr="005852F9">
              <w:rPr>
                <w:b/>
                <w:sz w:val="20"/>
                <w:szCs w:val="20"/>
              </w:rPr>
              <w:fldChar w:fldCharType="begin"/>
            </w:r>
            <w:r w:rsidRPr="005852F9">
              <w:rPr>
                <w:b/>
                <w:sz w:val="20"/>
                <w:szCs w:val="20"/>
              </w:rPr>
              <w:instrText xml:space="preserve"> PAGE </w:instrText>
            </w:r>
            <w:r w:rsidRPr="005852F9">
              <w:rPr>
                <w:b/>
                <w:sz w:val="20"/>
                <w:szCs w:val="20"/>
              </w:rPr>
              <w:fldChar w:fldCharType="separate"/>
            </w:r>
            <w:r w:rsidR="00964DF4">
              <w:rPr>
                <w:b/>
                <w:noProof/>
                <w:sz w:val="20"/>
                <w:szCs w:val="20"/>
              </w:rPr>
              <w:t>10</w:t>
            </w:r>
            <w:r w:rsidRPr="005852F9">
              <w:rPr>
                <w:b/>
                <w:sz w:val="20"/>
                <w:szCs w:val="20"/>
              </w:rPr>
              <w:fldChar w:fldCharType="end"/>
            </w:r>
            <w:r w:rsidRPr="005852F9">
              <w:rPr>
                <w:sz w:val="20"/>
                <w:szCs w:val="20"/>
              </w:rPr>
              <w:t xml:space="preserve"> of </w:t>
            </w:r>
            <w:r w:rsidRPr="005852F9">
              <w:rPr>
                <w:b/>
                <w:sz w:val="20"/>
                <w:szCs w:val="20"/>
              </w:rPr>
              <w:fldChar w:fldCharType="begin"/>
            </w:r>
            <w:r w:rsidRPr="005852F9">
              <w:rPr>
                <w:b/>
                <w:sz w:val="20"/>
                <w:szCs w:val="20"/>
              </w:rPr>
              <w:instrText xml:space="preserve"> NUMPAGES  </w:instrText>
            </w:r>
            <w:r w:rsidRPr="005852F9">
              <w:rPr>
                <w:b/>
                <w:sz w:val="20"/>
                <w:szCs w:val="20"/>
              </w:rPr>
              <w:fldChar w:fldCharType="separate"/>
            </w:r>
            <w:r w:rsidR="00964DF4">
              <w:rPr>
                <w:b/>
                <w:noProof/>
                <w:sz w:val="20"/>
                <w:szCs w:val="20"/>
              </w:rPr>
              <w:t>10</w:t>
            </w:r>
            <w:r w:rsidRPr="005852F9">
              <w:rPr>
                <w:b/>
                <w:sz w:val="20"/>
                <w:szCs w:val="20"/>
              </w:rPr>
              <w:fldChar w:fldCharType="end"/>
            </w:r>
          </w:p>
        </w:sdtContent>
      </w:sdt>
    </w:sdtContent>
  </w:sdt>
  <w:p w:rsidR="00BF2B7F" w:rsidRDefault="00BF2B7F" w:rsidP="00C678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85E" w:rsidRDefault="005B785E" w:rsidP="00FA5DA9">
      <w:r>
        <w:separator/>
      </w:r>
    </w:p>
  </w:footnote>
  <w:footnote w:type="continuationSeparator" w:id="0">
    <w:p w:rsidR="005B785E" w:rsidRDefault="005B785E" w:rsidP="00FA5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7F" w:rsidRDefault="00BF2B7F" w:rsidP="00C678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2B7F" w:rsidRDefault="00BF2B7F" w:rsidP="00C678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5547"/>
      <w:docPartObj>
        <w:docPartGallery w:val="Watermarks"/>
        <w:docPartUnique/>
      </w:docPartObj>
    </w:sdtPr>
    <w:sdtEndPr/>
    <w:sdtContent>
      <w:p w:rsidR="00BF2B7F" w:rsidRDefault="005B785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68C0"/>
    <w:multiLevelType w:val="multilevel"/>
    <w:tmpl w:val="48C29560"/>
    <w:lvl w:ilvl="0">
      <w:start w:val="1"/>
      <w:numFmt w:val="decimal"/>
      <w:lvlText w:val="%1."/>
      <w:lvlJc w:val="left"/>
      <w:pPr>
        <w:ind w:left="720" w:hanging="360"/>
      </w:pPr>
      <w:rPr>
        <w:rFonts w:hint="default"/>
        <w:color w:val="auto"/>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670156"/>
    <w:multiLevelType w:val="multilevel"/>
    <w:tmpl w:val="79BC9184"/>
    <w:lvl w:ilvl="0">
      <w:start w:val="1"/>
      <w:numFmt w:val="decimal"/>
      <w:lvlText w:val="%1."/>
      <w:lvlJc w:val="left"/>
      <w:pPr>
        <w:ind w:left="720" w:hanging="360"/>
      </w:pPr>
      <w:rPr>
        <w:rFonts w:hint="default"/>
        <w:color w:val="auto"/>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E0F0298"/>
    <w:multiLevelType w:val="hybridMultilevel"/>
    <w:tmpl w:val="CE182ACC"/>
    <w:lvl w:ilvl="0" w:tplc="3D6A5776">
      <w:start w:val="7"/>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3">
    <w:nsid w:val="1622542F"/>
    <w:multiLevelType w:val="hybridMultilevel"/>
    <w:tmpl w:val="9252B652"/>
    <w:lvl w:ilvl="0" w:tplc="A8DECE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6384F"/>
    <w:multiLevelType w:val="hybridMultilevel"/>
    <w:tmpl w:val="F61C33E2"/>
    <w:lvl w:ilvl="0" w:tplc="366298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F09C5"/>
    <w:multiLevelType w:val="hybridMultilevel"/>
    <w:tmpl w:val="E034C4B4"/>
    <w:lvl w:ilvl="0" w:tplc="797C2E8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18C32713"/>
    <w:multiLevelType w:val="hybridMultilevel"/>
    <w:tmpl w:val="5840EE2A"/>
    <w:lvl w:ilvl="0" w:tplc="797C2E8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1D951D9D"/>
    <w:multiLevelType w:val="hybridMultilevel"/>
    <w:tmpl w:val="D88AD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11839"/>
    <w:multiLevelType w:val="hybridMultilevel"/>
    <w:tmpl w:val="0D62C42E"/>
    <w:lvl w:ilvl="0" w:tplc="5D62D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75599"/>
    <w:multiLevelType w:val="hybridMultilevel"/>
    <w:tmpl w:val="4B80E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F2FDF"/>
    <w:multiLevelType w:val="hybridMultilevel"/>
    <w:tmpl w:val="52060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5395A"/>
    <w:multiLevelType w:val="hybridMultilevel"/>
    <w:tmpl w:val="A30C71AE"/>
    <w:lvl w:ilvl="0" w:tplc="B56ED7AC">
      <w:start w:val="17"/>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30864D60"/>
    <w:multiLevelType w:val="hybridMultilevel"/>
    <w:tmpl w:val="E034C4B4"/>
    <w:lvl w:ilvl="0" w:tplc="797C2E8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nsid w:val="374512A9"/>
    <w:multiLevelType w:val="hybridMultilevel"/>
    <w:tmpl w:val="A87C402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nsid w:val="44250643"/>
    <w:multiLevelType w:val="multilevel"/>
    <w:tmpl w:val="5E0C6B0E"/>
    <w:lvl w:ilvl="0">
      <w:start w:val="1"/>
      <w:numFmt w:val="decimal"/>
      <w:lvlText w:val="%1."/>
      <w:lvlJc w:val="left"/>
      <w:pPr>
        <w:ind w:left="720" w:hanging="360"/>
      </w:pPr>
      <w:rPr>
        <w:rFonts w:hint="default"/>
        <w:color w:val="auto"/>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5D304CF"/>
    <w:multiLevelType w:val="hybridMultilevel"/>
    <w:tmpl w:val="B52AB020"/>
    <w:lvl w:ilvl="0" w:tplc="5D62D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7B1EC1"/>
    <w:multiLevelType w:val="hybridMultilevel"/>
    <w:tmpl w:val="06AE9762"/>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7">
    <w:nsid w:val="53202F8E"/>
    <w:multiLevelType w:val="hybridMultilevel"/>
    <w:tmpl w:val="2A7C3490"/>
    <w:lvl w:ilvl="0" w:tplc="4C8864B6">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8">
    <w:nsid w:val="587F4B80"/>
    <w:multiLevelType w:val="hybridMultilevel"/>
    <w:tmpl w:val="7602990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5C3944C4"/>
    <w:multiLevelType w:val="hybridMultilevel"/>
    <w:tmpl w:val="A69E6CDE"/>
    <w:lvl w:ilvl="0" w:tplc="8A6027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D45E00"/>
    <w:multiLevelType w:val="hybridMultilevel"/>
    <w:tmpl w:val="B8E6D4E2"/>
    <w:lvl w:ilvl="0" w:tplc="7AFC9918">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644440"/>
    <w:multiLevelType w:val="hybridMultilevel"/>
    <w:tmpl w:val="BAB6535C"/>
    <w:lvl w:ilvl="0" w:tplc="2366846C">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2">
    <w:nsid w:val="69C866CD"/>
    <w:multiLevelType w:val="hybridMultilevel"/>
    <w:tmpl w:val="2F52BDA6"/>
    <w:lvl w:ilvl="0" w:tplc="F67C7B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701761"/>
    <w:multiLevelType w:val="hybridMultilevel"/>
    <w:tmpl w:val="F3C2DB00"/>
    <w:lvl w:ilvl="0" w:tplc="0DB41320">
      <w:start w:val="20"/>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6E755AB4"/>
    <w:multiLevelType w:val="hybridMultilevel"/>
    <w:tmpl w:val="EE6C4F60"/>
    <w:lvl w:ilvl="0" w:tplc="5D62D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CD2235"/>
    <w:multiLevelType w:val="hybridMultilevel"/>
    <w:tmpl w:val="51B4E51A"/>
    <w:lvl w:ilvl="0" w:tplc="9F842058">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6">
    <w:nsid w:val="7BBC20F9"/>
    <w:multiLevelType w:val="hybridMultilevel"/>
    <w:tmpl w:val="E846648C"/>
    <w:lvl w:ilvl="0" w:tplc="5D62DD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F522F30"/>
    <w:multiLevelType w:val="hybridMultilevel"/>
    <w:tmpl w:val="E25EC570"/>
    <w:lvl w:ilvl="0" w:tplc="90B4C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9F3C43"/>
    <w:multiLevelType w:val="hybridMultilevel"/>
    <w:tmpl w:val="1EDE738C"/>
    <w:lvl w:ilvl="0" w:tplc="5E127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0"/>
  </w:num>
  <w:num w:numId="4">
    <w:abstractNumId w:val="6"/>
  </w:num>
  <w:num w:numId="5">
    <w:abstractNumId w:val="8"/>
  </w:num>
  <w:num w:numId="6">
    <w:abstractNumId w:val="12"/>
  </w:num>
  <w:num w:numId="7">
    <w:abstractNumId w:val="24"/>
  </w:num>
  <w:num w:numId="8">
    <w:abstractNumId w:val="15"/>
  </w:num>
  <w:num w:numId="9">
    <w:abstractNumId w:val="26"/>
  </w:num>
  <w:num w:numId="10">
    <w:abstractNumId w:val="17"/>
  </w:num>
  <w:num w:numId="11">
    <w:abstractNumId w:val="25"/>
  </w:num>
  <w:num w:numId="12">
    <w:abstractNumId w:val="21"/>
  </w:num>
  <w:num w:numId="13">
    <w:abstractNumId w:val="2"/>
  </w:num>
  <w:num w:numId="14">
    <w:abstractNumId w:val="11"/>
  </w:num>
  <w:num w:numId="15">
    <w:abstractNumId w:val="23"/>
  </w:num>
  <w:num w:numId="16">
    <w:abstractNumId w:val="5"/>
  </w:num>
  <w:num w:numId="17">
    <w:abstractNumId w:val="16"/>
  </w:num>
  <w:num w:numId="18">
    <w:abstractNumId w:val="18"/>
  </w:num>
  <w:num w:numId="19">
    <w:abstractNumId w:val="13"/>
  </w:num>
  <w:num w:numId="20">
    <w:abstractNumId w:val="14"/>
  </w:num>
  <w:num w:numId="21">
    <w:abstractNumId w:val="19"/>
  </w:num>
  <w:num w:numId="22">
    <w:abstractNumId w:val="22"/>
  </w:num>
  <w:num w:numId="23">
    <w:abstractNumId w:val="0"/>
  </w:num>
  <w:num w:numId="24">
    <w:abstractNumId w:val="1"/>
  </w:num>
  <w:num w:numId="25">
    <w:abstractNumId w:val="28"/>
  </w:num>
  <w:num w:numId="26">
    <w:abstractNumId w:val="27"/>
  </w:num>
  <w:num w:numId="27">
    <w:abstractNumId w:val="4"/>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35"/>
    <w:rsid w:val="00033F51"/>
    <w:rsid w:val="00056366"/>
    <w:rsid w:val="00066ACA"/>
    <w:rsid w:val="0006725A"/>
    <w:rsid w:val="000D2908"/>
    <w:rsid w:val="000D3DCA"/>
    <w:rsid w:val="00102444"/>
    <w:rsid w:val="0010286A"/>
    <w:rsid w:val="00103957"/>
    <w:rsid w:val="00105207"/>
    <w:rsid w:val="00111929"/>
    <w:rsid w:val="00116DCE"/>
    <w:rsid w:val="001432C9"/>
    <w:rsid w:val="00166FE0"/>
    <w:rsid w:val="00184671"/>
    <w:rsid w:val="00184C4B"/>
    <w:rsid w:val="0018743F"/>
    <w:rsid w:val="00193FD0"/>
    <w:rsid w:val="00195DAD"/>
    <w:rsid w:val="001B64EB"/>
    <w:rsid w:val="001C4C11"/>
    <w:rsid w:val="001C4E33"/>
    <w:rsid w:val="001E3AA5"/>
    <w:rsid w:val="001F5656"/>
    <w:rsid w:val="002069A4"/>
    <w:rsid w:val="00241F3C"/>
    <w:rsid w:val="002601DB"/>
    <w:rsid w:val="00292385"/>
    <w:rsid w:val="002A10BB"/>
    <w:rsid w:val="002B6B4C"/>
    <w:rsid w:val="002D7776"/>
    <w:rsid w:val="002E4C4A"/>
    <w:rsid w:val="002E4D72"/>
    <w:rsid w:val="002E786E"/>
    <w:rsid w:val="003030B6"/>
    <w:rsid w:val="00322943"/>
    <w:rsid w:val="00352C59"/>
    <w:rsid w:val="00365AB6"/>
    <w:rsid w:val="00373CFE"/>
    <w:rsid w:val="00390B18"/>
    <w:rsid w:val="00394772"/>
    <w:rsid w:val="003A2490"/>
    <w:rsid w:val="003A4B1F"/>
    <w:rsid w:val="003C0ABA"/>
    <w:rsid w:val="003D1ABF"/>
    <w:rsid w:val="003D2FF6"/>
    <w:rsid w:val="00417BDC"/>
    <w:rsid w:val="004217D6"/>
    <w:rsid w:val="004402D6"/>
    <w:rsid w:val="004461A9"/>
    <w:rsid w:val="0048276E"/>
    <w:rsid w:val="004A1F00"/>
    <w:rsid w:val="004A3643"/>
    <w:rsid w:val="004B16A9"/>
    <w:rsid w:val="004D4872"/>
    <w:rsid w:val="004D7C34"/>
    <w:rsid w:val="005131C4"/>
    <w:rsid w:val="00527752"/>
    <w:rsid w:val="00560370"/>
    <w:rsid w:val="005852F9"/>
    <w:rsid w:val="005865A2"/>
    <w:rsid w:val="005869A9"/>
    <w:rsid w:val="0059401D"/>
    <w:rsid w:val="005B785E"/>
    <w:rsid w:val="005C4C5C"/>
    <w:rsid w:val="005C5EE7"/>
    <w:rsid w:val="005D4AA1"/>
    <w:rsid w:val="005E326A"/>
    <w:rsid w:val="005E605F"/>
    <w:rsid w:val="005F3C47"/>
    <w:rsid w:val="005F71FA"/>
    <w:rsid w:val="0060043B"/>
    <w:rsid w:val="00601CA4"/>
    <w:rsid w:val="00624F94"/>
    <w:rsid w:val="00635672"/>
    <w:rsid w:val="006408E6"/>
    <w:rsid w:val="00654391"/>
    <w:rsid w:val="00654406"/>
    <w:rsid w:val="006665D4"/>
    <w:rsid w:val="00687F29"/>
    <w:rsid w:val="00690735"/>
    <w:rsid w:val="006C6016"/>
    <w:rsid w:val="006D4A0B"/>
    <w:rsid w:val="006D7EE2"/>
    <w:rsid w:val="006F1919"/>
    <w:rsid w:val="00721F3F"/>
    <w:rsid w:val="00733043"/>
    <w:rsid w:val="00741F17"/>
    <w:rsid w:val="007616EE"/>
    <w:rsid w:val="00767CDB"/>
    <w:rsid w:val="007879B1"/>
    <w:rsid w:val="00794079"/>
    <w:rsid w:val="007B7911"/>
    <w:rsid w:val="007C5C48"/>
    <w:rsid w:val="00811D7C"/>
    <w:rsid w:val="00813860"/>
    <w:rsid w:val="008367E7"/>
    <w:rsid w:val="00851DBF"/>
    <w:rsid w:val="008603EF"/>
    <w:rsid w:val="0087622A"/>
    <w:rsid w:val="0088126B"/>
    <w:rsid w:val="008A2BD9"/>
    <w:rsid w:val="008A4009"/>
    <w:rsid w:val="008A4E80"/>
    <w:rsid w:val="008A6BF2"/>
    <w:rsid w:val="008B4B78"/>
    <w:rsid w:val="008C0E87"/>
    <w:rsid w:val="008D43B4"/>
    <w:rsid w:val="008E5BD0"/>
    <w:rsid w:val="008E6B07"/>
    <w:rsid w:val="008F7530"/>
    <w:rsid w:val="009025C4"/>
    <w:rsid w:val="00921E59"/>
    <w:rsid w:val="00922C44"/>
    <w:rsid w:val="009274AC"/>
    <w:rsid w:val="00954BF5"/>
    <w:rsid w:val="00956668"/>
    <w:rsid w:val="00964DF4"/>
    <w:rsid w:val="00972463"/>
    <w:rsid w:val="009914BC"/>
    <w:rsid w:val="0099556A"/>
    <w:rsid w:val="00996C27"/>
    <w:rsid w:val="009A2422"/>
    <w:rsid w:val="009A6D67"/>
    <w:rsid w:val="009B11D8"/>
    <w:rsid w:val="009B1B40"/>
    <w:rsid w:val="009B4B85"/>
    <w:rsid w:val="009C2276"/>
    <w:rsid w:val="009E2A32"/>
    <w:rsid w:val="009E4AFB"/>
    <w:rsid w:val="00A02BA4"/>
    <w:rsid w:val="00A11A18"/>
    <w:rsid w:val="00A1433A"/>
    <w:rsid w:val="00A23D1C"/>
    <w:rsid w:val="00A438A8"/>
    <w:rsid w:val="00A441EB"/>
    <w:rsid w:val="00A74F27"/>
    <w:rsid w:val="00A75894"/>
    <w:rsid w:val="00A93AB7"/>
    <w:rsid w:val="00AA12BF"/>
    <w:rsid w:val="00AA4FCD"/>
    <w:rsid w:val="00AB72B8"/>
    <w:rsid w:val="00AD6A4D"/>
    <w:rsid w:val="00AE25A0"/>
    <w:rsid w:val="00B20FA7"/>
    <w:rsid w:val="00B23562"/>
    <w:rsid w:val="00B32108"/>
    <w:rsid w:val="00B33CC4"/>
    <w:rsid w:val="00B4412C"/>
    <w:rsid w:val="00B44EDB"/>
    <w:rsid w:val="00B85C37"/>
    <w:rsid w:val="00B91A57"/>
    <w:rsid w:val="00B96A78"/>
    <w:rsid w:val="00BD6681"/>
    <w:rsid w:val="00BE1735"/>
    <w:rsid w:val="00BE6F2F"/>
    <w:rsid w:val="00BF2B7F"/>
    <w:rsid w:val="00C06850"/>
    <w:rsid w:val="00C15419"/>
    <w:rsid w:val="00C15D19"/>
    <w:rsid w:val="00C1704A"/>
    <w:rsid w:val="00C17B88"/>
    <w:rsid w:val="00C31A09"/>
    <w:rsid w:val="00C33D68"/>
    <w:rsid w:val="00C40D1E"/>
    <w:rsid w:val="00C505CC"/>
    <w:rsid w:val="00C52D8A"/>
    <w:rsid w:val="00C55735"/>
    <w:rsid w:val="00C6368B"/>
    <w:rsid w:val="00C6787F"/>
    <w:rsid w:val="00C779A3"/>
    <w:rsid w:val="00C87F88"/>
    <w:rsid w:val="00CA1187"/>
    <w:rsid w:val="00CA5B18"/>
    <w:rsid w:val="00CA6685"/>
    <w:rsid w:val="00CD2067"/>
    <w:rsid w:val="00CE26E7"/>
    <w:rsid w:val="00D01C98"/>
    <w:rsid w:val="00D1189D"/>
    <w:rsid w:val="00D37F10"/>
    <w:rsid w:val="00D47097"/>
    <w:rsid w:val="00D5660E"/>
    <w:rsid w:val="00D72BB8"/>
    <w:rsid w:val="00D77B8F"/>
    <w:rsid w:val="00D810B2"/>
    <w:rsid w:val="00D87129"/>
    <w:rsid w:val="00D91721"/>
    <w:rsid w:val="00D95319"/>
    <w:rsid w:val="00DB2784"/>
    <w:rsid w:val="00DC0391"/>
    <w:rsid w:val="00DE5303"/>
    <w:rsid w:val="00E11130"/>
    <w:rsid w:val="00E526BD"/>
    <w:rsid w:val="00E53CD4"/>
    <w:rsid w:val="00E6393B"/>
    <w:rsid w:val="00E66538"/>
    <w:rsid w:val="00E713FE"/>
    <w:rsid w:val="00E716EF"/>
    <w:rsid w:val="00EA4FB1"/>
    <w:rsid w:val="00EA5922"/>
    <w:rsid w:val="00EA5F13"/>
    <w:rsid w:val="00EC4691"/>
    <w:rsid w:val="00ED53F3"/>
    <w:rsid w:val="00EF05E0"/>
    <w:rsid w:val="00F57984"/>
    <w:rsid w:val="00F77720"/>
    <w:rsid w:val="00F82955"/>
    <w:rsid w:val="00FA5DA9"/>
    <w:rsid w:val="00FB61B5"/>
    <w:rsid w:val="00FC40DD"/>
    <w:rsid w:val="00FE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2A7CDDB-AB5D-4008-8C31-AB47E9C6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735"/>
    <w:pPr>
      <w:spacing w:after="0" w:line="240" w:lineRule="auto"/>
    </w:pPr>
    <w:rPr>
      <w:rFonts w:ascii="Times New Roman" w:eastAsia="MS Mincho"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1735"/>
    <w:pPr>
      <w:tabs>
        <w:tab w:val="center" w:pos="4320"/>
        <w:tab w:val="right" w:pos="8640"/>
      </w:tabs>
    </w:pPr>
  </w:style>
  <w:style w:type="character" w:customStyle="1" w:styleId="FooterChar">
    <w:name w:val="Footer Char"/>
    <w:basedOn w:val="DefaultParagraphFont"/>
    <w:link w:val="Footer"/>
    <w:uiPriority w:val="99"/>
    <w:rsid w:val="00BE1735"/>
    <w:rPr>
      <w:rFonts w:ascii="Times New Roman" w:eastAsia="MS Mincho" w:hAnsi="Times New Roman" w:cs="Times New Roman"/>
      <w:sz w:val="24"/>
      <w:szCs w:val="24"/>
      <w:lang w:val="sr-Latn-CS"/>
    </w:rPr>
  </w:style>
  <w:style w:type="character" w:styleId="PageNumber">
    <w:name w:val="page number"/>
    <w:basedOn w:val="DefaultParagraphFont"/>
    <w:rsid w:val="00BE1735"/>
  </w:style>
  <w:style w:type="paragraph" w:styleId="Header">
    <w:name w:val="header"/>
    <w:basedOn w:val="Normal"/>
    <w:link w:val="HeaderChar"/>
    <w:rsid w:val="00BE1735"/>
    <w:pPr>
      <w:tabs>
        <w:tab w:val="center" w:pos="4320"/>
        <w:tab w:val="right" w:pos="8640"/>
      </w:tabs>
    </w:pPr>
  </w:style>
  <w:style w:type="character" w:customStyle="1" w:styleId="HeaderChar">
    <w:name w:val="Header Char"/>
    <w:basedOn w:val="DefaultParagraphFont"/>
    <w:link w:val="Header"/>
    <w:rsid w:val="00BE1735"/>
    <w:rPr>
      <w:rFonts w:ascii="Times New Roman" w:eastAsia="MS Mincho" w:hAnsi="Times New Roman" w:cs="Times New Roman"/>
      <w:sz w:val="24"/>
      <w:szCs w:val="24"/>
      <w:lang w:val="sr-Latn-CS"/>
    </w:rPr>
  </w:style>
  <w:style w:type="paragraph" w:styleId="ListParagraph">
    <w:name w:val="List Paragraph"/>
    <w:basedOn w:val="Normal"/>
    <w:uiPriority w:val="34"/>
    <w:qFormat/>
    <w:rsid w:val="00BE1735"/>
    <w:pPr>
      <w:spacing w:after="200" w:line="276" w:lineRule="auto"/>
      <w:ind w:left="720"/>
      <w:contextualSpacing/>
    </w:pPr>
    <w:rPr>
      <w:rFonts w:ascii="Calibri" w:eastAsia="Calibri" w:hAnsi="Calibri"/>
      <w:sz w:val="22"/>
      <w:szCs w:val="22"/>
    </w:rPr>
  </w:style>
  <w:style w:type="paragraph" w:customStyle="1" w:styleId="Default">
    <w:name w:val="Default"/>
    <w:rsid w:val="00BE1735"/>
    <w:pPr>
      <w:autoSpaceDE w:val="0"/>
      <w:autoSpaceDN w:val="0"/>
      <w:adjustRightInd w:val="0"/>
      <w:spacing w:after="0" w:line="240" w:lineRule="auto"/>
    </w:pPr>
    <w:rPr>
      <w:rFonts w:ascii="CNPFIP+TimesNewRoman" w:eastAsia="Times New Roman" w:hAnsi="CNPFIP+TimesNewRoman" w:cs="CNPFIP+TimesNewRoman"/>
      <w:color w:val="000000"/>
      <w:sz w:val="24"/>
      <w:szCs w:val="24"/>
    </w:rPr>
  </w:style>
  <w:style w:type="paragraph" w:styleId="BalloonText">
    <w:name w:val="Balloon Text"/>
    <w:basedOn w:val="Normal"/>
    <w:link w:val="BalloonTextChar"/>
    <w:uiPriority w:val="99"/>
    <w:semiHidden/>
    <w:unhideWhenUsed/>
    <w:rsid w:val="00CA1187"/>
    <w:rPr>
      <w:rFonts w:ascii="Tahoma" w:hAnsi="Tahoma" w:cs="Tahoma"/>
      <w:sz w:val="16"/>
      <w:szCs w:val="16"/>
    </w:rPr>
  </w:style>
  <w:style w:type="character" w:customStyle="1" w:styleId="BalloonTextChar">
    <w:name w:val="Balloon Text Char"/>
    <w:basedOn w:val="DefaultParagraphFont"/>
    <w:link w:val="BalloonText"/>
    <w:uiPriority w:val="99"/>
    <w:semiHidden/>
    <w:rsid w:val="00CA1187"/>
    <w:rPr>
      <w:rFonts w:ascii="Tahoma" w:eastAsia="MS Mincho" w:hAnsi="Tahoma" w:cs="Tahoma"/>
      <w:sz w:val="16"/>
      <w:szCs w:val="16"/>
      <w:lang w:val="sr-Latn-CS"/>
    </w:rPr>
  </w:style>
  <w:style w:type="character" w:customStyle="1" w:styleId="hps">
    <w:name w:val="hps"/>
    <w:basedOn w:val="DefaultParagraphFont"/>
    <w:rsid w:val="00A02BA4"/>
  </w:style>
  <w:style w:type="character" w:styleId="CommentReference">
    <w:name w:val="annotation reference"/>
    <w:basedOn w:val="DefaultParagraphFont"/>
    <w:uiPriority w:val="99"/>
    <w:semiHidden/>
    <w:unhideWhenUsed/>
    <w:rsid w:val="00D1189D"/>
    <w:rPr>
      <w:sz w:val="16"/>
      <w:szCs w:val="16"/>
    </w:rPr>
  </w:style>
  <w:style w:type="paragraph" w:styleId="CommentText">
    <w:name w:val="annotation text"/>
    <w:basedOn w:val="Normal"/>
    <w:link w:val="CommentTextChar"/>
    <w:uiPriority w:val="99"/>
    <w:semiHidden/>
    <w:unhideWhenUsed/>
    <w:rsid w:val="00D1189D"/>
    <w:rPr>
      <w:sz w:val="20"/>
      <w:szCs w:val="20"/>
    </w:rPr>
  </w:style>
  <w:style w:type="character" w:customStyle="1" w:styleId="CommentTextChar">
    <w:name w:val="Comment Text Char"/>
    <w:basedOn w:val="DefaultParagraphFont"/>
    <w:link w:val="CommentText"/>
    <w:uiPriority w:val="99"/>
    <w:semiHidden/>
    <w:rsid w:val="00D1189D"/>
    <w:rPr>
      <w:rFonts w:ascii="Times New Roman" w:eastAsia="MS Mincho" w:hAnsi="Times New Roman" w:cs="Times New Roman"/>
      <w:sz w:val="20"/>
      <w:szCs w:val="20"/>
      <w:lang w:val="sr-Latn-CS"/>
    </w:rPr>
  </w:style>
  <w:style w:type="paragraph" w:styleId="CommentSubject">
    <w:name w:val="annotation subject"/>
    <w:basedOn w:val="CommentText"/>
    <w:next w:val="CommentText"/>
    <w:link w:val="CommentSubjectChar"/>
    <w:uiPriority w:val="99"/>
    <w:semiHidden/>
    <w:unhideWhenUsed/>
    <w:rsid w:val="00D1189D"/>
    <w:rPr>
      <w:b/>
      <w:bCs/>
    </w:rPr>
  </w:style>
  <w:style w:type="character" w:customStyle="1" w:styleId="CommentSubjectChar">
    <w:name w:val="Comment Subject Char"/>
    <w:basedOn w:val="CommentTextChar"/>
    <w:link w:val="CommentSubject"/>
    <w:uiPriority w:val="99"/>
    <w:semiHidden/>
    <w:rsid w:val="00D1189D"/>
    <w:rPr>
      <w:rFonts w:ascii="Times New Roman" w:eastAsia="MS Mincho" w:hAnsi="Times New Roman" w:cs="Times New Roman"/>
      <w:b/>
      <w:bCs/>
      <w:sz w:val="20"/>
      <w:szCs w:val="20"/>
      <w:lang w:val="sr-Latn-CS"/>
    </w:rPr>
  </w:style>
  <w:style w:type="paragraph" w:customStyle="1" w:styleId="Text">
    <w:name w:val="Text"/>
    <w:basedOn w:val="Normal"/>
    <w:qFormat/>
    <w:rsid w:val="00601CA4"/>
    <w:pPr>
      <w:widowControl w:val="0"/>
      <w:autoSpaceDE w:val="0"/>
      <w:autoSpaceDN w:val="0"/>
      <w:adjustRightInd w:val="0"/>
      <w:spacing w:before="80"/>
      <w:jc w:val="both"/>
    </w:pPr>
    <w:rPr>
      <w:rFonts w:eastAsia="Times New Roman"/>
      <w:color w:val="000000"/>
      <w:sz w:val="22"/>
      <w:lang w:val="en-US"/>
    </w:rPr>
  </w:style>
  <w:style w:type="paragraph" w:styleId="HTMLPreformatted">
    <w:name w:val="HTML Preformatted"/>
    <w:basedOn w:val="Normal"/>
    <w:link w:val="HTMLPreformattedChar"/>
    <w:uiPriority w:val="99"/>
    <w:unhideWhenUsed/>
    <w:rsid w:val="00601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01CA4"/>
    <w:rPr>
      <w:rFonts w:ascii="Courier New" w:eastAsia="Times New Roman" w:hAnsi="Courier New" w:cs="Courier New"/>
      <w:sz w:val="20"/>
      <w:szCs w:val="20"/>
    </w:rPr>
  </w:style>
  <w:style w:type="paragraph" w:styleId="NoSpacing">
    <w:name w:val="No Spacing"/>
    <w:uiPriority w:val="1"/>
    <w:qFormat/>
    <w:rsid w:val="005F3C47"/>
    <w:pPr>
      <w:spacing w:after="0" w:line="240" w:lineRule="auto"/>
    </w:pPr>
    <w:rPr>
      <w:rFonts w:ascii="Times New Roman" w:eastAsia="MS Mincho"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115">
      <w:bodyDiv w:val="1"/>
      <w:marLeft w:val="0"/>
      <w:marRight w:val="0"/>
      <w:marTop w:val="0"/>
      <w:marBottom w:val="0"/>
      <w:divBdr>
        <w:top w:val="none" w:sz="0" w:space="0" w:color="auto"/>
        <w:left w:val="none" w:sz="0" w:space="0" w:color="auto"/>
        <w:bottom w:val="none" w:sz="0" w:space="0" w:color="auto"/>
        <w:right w:val="none" w:sz="0" w:space="0" w:color="auto"/>
      </w:divBdr>
    </w:div>
    <w:div w:id="214510711">
      <w:bodyDiv w:val="1"/>
      <w:marLeft w:val="0"/>
      <w:marRight w:val="0"/>
      <w:marTop w:val="0"/>
      <w:marBottom w:val="0"/>
      <w:divBdr>
        <w:top w:val="none" w:sz="0" w:space="0" w:color="auto"/>
        <w:left w:val="none" w:sz="0" w:space="0" w:color="auto"/>
        <w:bottom w:val="none" w:sz="0" w:space="0" w:color="auto"/>
        <w:right w:val="none" w:sz="0" w:space="0" w:color="auto"/>
      </w:divBdr>
      <w:divsChild>
        <w:div w:id="1471705707">
          <w:marLeft w:val="0"/>
          <w:marRight w:val="0"/>
          <w:marTop w:val="0"/>
          <w:marBottom w:val="0"/>
          <w:divBdr>
            <w:top w:val="none" w:sz="0" w:space="0" w:color="auto"/>
            <w:left w:val="none" w:sz="0" w:space="0" w:color="auto"/>
            <w:bottom w:val="none" w:sz="0" w:space="0" w:color="auto"/>
            <w:right w:val="none" w:sz="0" w:space="0" w:color="auto"/>
          </w:divBdr>
          <w:divsChild>
            <w:div w:id="1693918890">
              <w:marLeft w:val="0"/>
              <w:marRight w:val="0"/>
              <w:marTop w:val="0"/>
              <w:marBottom w:val="0"/>
              <w:divBdr>
                <w:top w:val="none" w:sz="0" w:space="0" w:color="auto"/>
                <w:left w:val="none" w:sz="0" w:space="0" w:color="auto"/>
                <w:bottom w:val="none" w:sz="0" w:space="0" w:color="auto"/>
                <w:right w:val="none" w:sz="0" w:space="0" w:color="auto"/>
              </w:divBdr>
              <w:divsChild>
                <w:div w:id="55053028">
                  <w:marLeft w:val="0"/>
                  <w:marRight w:val="0"/>
                  <w:marTop w:val="0"/>
                  <w:marBottom w:val="0"/>
                  <w:divBdr>
                    <w:top w:val="none" w:sz="0" w:space="0" w:color="auto"/>
                    <w:left w:val="none" w:sz="0" w:space="0" w:color="auto"/>
                    <w:bottom w:val="none" w:sz="0" w:space="0" w:color="auto"/>
                    <w:right w:val="none" w:sz="0" w:space="0" w:color="auto"/>
                  </w:divBdr>
                  <w:divsChild>
                    <w:div w:id="399713970">
                      <w:marLeft w:val="0"/>
                      <w:marRight w:val="0"/>
                      <w:marTop w:val="0"/>
                      <w:marBottom w:val="0"/>
                      <w:divBdr>
                        <w:top w:val="none" w:sz="0" w:space="0" w:color="auto"/>
                        <w:left w:val="none" w:sz="0" w:space="0" w:color="auto"/>
                        <w:bottom w:val="none" w:sz="0" w:space="0" w:color="auto"/>
                        <w:right w:val="none" w:sz="0" w:space="0" w:color="auto"/>
                      </w:divBdr>
                      <w:divsChild>
                        <w:div w:id="1901748972">
                          <w:marLeft w:val="0"/>
                          <w:marRight w:val="0"/>
                          <w:marTop w:val="0"/>
                          <w:marBottom w:val="0"/>
                          <w:divBdr>
                            <w:top w:val="none" w:sz="0" w:space="0" w:color="auto"/>
                            <w:left w:val="none" w:sz="0" w:space="0" w:color="auto"/>
                            <w:bottom w:val="none" w:sz="0" w:space="0" w:color="auto"/>
                            <w:right w:val="none" w:sz="0" w:space="0" w:color="auto"/>
                          </w:divBdr>
                          <w:divsChild>
                            <w:div w:id="1640261595">
                              <w:marLeft w:val="0"/>
                              <w:marRight w:val="0"/>
                              <w:marTop w:val="0"/>
                              <w:marBottom w:val="0"/>
                              <w:divBdr>
                                <w:top w:val="none" w:sz="0" w:space="0" w:color="auto"/>
                                <w:left w:val="none" w:sz="0" w:space="0" w:color="auto"/>
                                <w:bottom w:val="none" w:sz="0" w:space="0" w:color="auto"/>
                                <w:right w:val="none" w:sz="0" w:space="0" w:color="auto"/>
                              </w:divBdr>
                              <w:divsChild>
                                <w:div w:id="1594511962">
                                  <w:marLeft w:val="0"/>
                                  <w:marRight w:val="0"/>
                                  <w:marTop w:val="0"/>
                                  <w:marBottom w:val="0"/>
                                  <w:divBdr>
                                    <w:top w:val="none" w:sz="0" w:space="0" w:color="auto"/>
                                    <w:left w:val="none" w:sz="0" w:space="0" w:color="auto"/>
                                    <w:bottom w:val="none" w:sz="0" w:space="0" w:color="auto"/>
                                    <w:right w:val="none" w:sz="0" w:space="0" w:color="auto"/>
                                  </w:divBdr>
                                  <w:divsChild>
                                    <w:div w:id="1648850981">
                                      <w:marLeft w:val="60"/>
                                      <w:marRight w:val="0"/>
                                      <w:marTop w:val="0"/>
                                      <w:marBottom w:val="0"/>
                                      <w:divBdr>
                                        <w:top w:val="none" w:sz="0" w:space="0" w:color="auto"/>
                                        <w:left w:val="none" w:sz="0" w:space="0" w:color="auto"/>
                                        <w:bottom w:val="none" w:sz="0" w:space="0" w:color="auto"/>
                                        <w:right w:val="none" w:sz="0" w:space="0" w:color="auto"/>
                                      </w:divBdr>
                                      <w:divsChild>
                                        <w:div w:id="430904294">
                                          <w:marLeft w:val="0"/>
                                          <w:marRight w:val="0"/>
                                          <w:marTop w:val="0"/>
                                          <w:marBottom w:val="0"/>
                                          <w:divBdr>
                                            <w:top w:val="none" w:sz="0" w:space="0" w:color="auto"/>
                                            <w:left w:val="none" w:sz="0" w:space="0" w:color="auto"/>
                                            <w:bottom w:val="none" w:sz="0" w:space="0" w:color="auto"/>
                                            <w:right w:val="none" w:sz="0" w:space="0" w:color="auto"/>
                                          </w:divBdr>
                                          <w:divsChild>
                                            <w:div w:id="46223369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924756">
      <w:bodyDiv w:val="1"/>
      <w:marLeft w:val="0"/>
      <w:marRight w:val="0"/>
      <w:marTop w:val="0"/>
      <w:marBottom w:val="0"/>
      <w:divBdr>
        <w:top w:val="none" w:sz="0" w:space="0" w:color="auto"/>
        <w:left w:val="none" w:sz="0" w:space="0" w:color="auto"/>
        <w:bottom w:val="none" w:sz="0" w:space="0" w:color="auto"/>
        <w:right w:val="none" w:sz="0" w:space="0" w:color="auto"/>
      </w:divBdr>
      <w:divsChild>
        <w:div w:id="870073573">
          <w:marLeft w:val="0"/>
          <w:marRight w:val="0"/>
          <w:marTop w:val="0"/>
          <w:marBottom w:val="0"/>
          <w:divBdr>
            <w:top w:val="none" w:sz="0" w:space="0" w:color="auto"/>
            <w:left w:val="none" w:sz="0" w:space="0" w:color="auto"/>
            <w:bottom w:val="none" w:sz="0" w:space="0" w:color="auto"/>
            <w:right w:val="none" w:sz="0" w:space="0" w:color="auto"/>
          </w:divBdr>
          <w:divsChild>
            <w:div w:id="1691687766">
              <w:marLeft w:val="0"/>
              <w:marRight w:val="0"/>
              <w:marTop w:val="0"/>
              <w:marBottom w:val="0"/>
              <w:divBdr>
                <w:top w:val="none" w:sz="0" w:space="0" w:color="auto"/>
                <w:left w:val="none" w:sz="0" w:space="0" w:color="auto"/>
                <w:bottom w:val="none" w:sz="0" w:space="0" w:color="auto"/>
                <w:right w:val="none" w:sz="0" w:space="0" w:color="auto"/>
              </w:divBdr>
              <w:divsChild>
                <w:div w:id="969438876">
                  <w:marLeft w:val="0"/>
                  <w:marRight w:val="0"/>
                  <w:marTop w:val="0"/>
                  <w:marBottom w:val="0"/>
                  <w:divBdr>
                    <w:top w:val="none" w:sz="0" w:space="0" w:color="auto"/>
                    <w:left w:val="none" w:sz="0" w:space="0" w:color="auto"/>
                    <w:bottom w:val="none" w:sz="0" w:space="0" w:color="auto"/>
                    <w:right w:val="none" w:sz="0" w:space="0" w:color="auto"/>
                  </w:divBdr>
                  <w:divsChild>
                    <w:div w:id="27151103">
                      <w:marLeft w:val="0"/>
                      <w:marRight w:val="0"/>
                      <w:marTop w:val="0"/>
                      <w:marBottom w:val="0"/>
                      <w:divBdr>
                        <w:top w:val="none" w:sz="0" w:space="0" w:color="auto"/>
                        <w:left w:val="none" w:sz="0" w:space="0" w:color="auto"/>
                        <w:bottom w:val="none" w:sz="0" w:space="0" w:color="auto"/>
                        <w:right w:val="none" w:sz="0" w:space="0" w:color="auto"/>
                      </w:divBdr>
                      <w:divsChild>
                        <w:div w:id="1877346374">
                          <w:marLeft w:val="0"/>
                          <w:marRight w:val="0"/>
                          <w:marTop w:val="0"/>
                          <w:marBottom w:val="0"/>
                          <w:divBdr>
                            <w:top w:val="none" w:sz="0" w:space="0" w:color="auto"/>
                            <w:left w:val="none" w:sz="0" w:space="0" w:color="auto"/>
                            <w:bottom w:val="none" w:sz="0" w:space="0" w:color="auto"/>
                            <w:right w:val="none" w:sz="0" w:space="0" w:color="auto"/>
                          </w:divBdr>
                          <w:divsChild>
                            <w:div w:id="1680086707">
                              <w:marLeft w:val="0"/>
                              <w:marRight w:val="0"/>
                              <w:marTop w:val="0"/>
                              <w:marBottom w:val="0"/>
                              <w:divBdr>
                                <w:top w:val="none" w:sz="0" w:space="0" w:color="auto"/>
                                <w:left w:val="none" w:sz="0" w:space="0" w:color="auto"/>
                                <w:bottom w:val="none" w:sz="0" w:space="0" w:color="auto"/>
                                <w:right w:val="none" w:sz="0" w:space="0" w:color="auto"/>
                              </w:divBdr>
                              <w:divsChild>
                                <w:div w:id="1462114245">
                                  <w:marLeft w:val="0"/>
                                  <w:marRight w:val="0"/>
                                  <w:marTop w:val="0"/>
                                  <w:marBottom w:val="0"/>
                                  <w:divBdr>
                                    <w:top w:val="none" w:sz="0" w:space="0" w:color="auto"/>
                                    <w:left w:val="none" w:sz="0" w:space="0" w:color="auto"/>
                                    <w:bottom w:val="none" w:sz="0" w:space="0" w:color="auto"/>
                                    <w:right w:val="none" w:sz="0" w:space="0" w:color="auto"/>
                                  </w:divBdr>
                                  <w:divsChild>
                                    <w:div w:id="2065524202">
                                      <w:marLeft w:val="60"/>
                                      <w:marRight w:val="0"/>
                                      <w:marTop w:val="0"/>
                                      <w:marBottom w:val="0"/>
                                      <w:divBdr>
                                        <w:top w:val="none" w:sz="0" w:space="0" w:color="auto"/>
                                        <w:left w:val="none" w:sz="0" w:space="0" w:color="auto"/>
                                        <w:bottom w:val="none" w:sz="0" w:space="0" w:color="auto"/>
                                        <w:right w:val="none" w:sz="0" w:space="0" w:color="auto"/>
                                      </w:divBdr>
                                      <w:divsChild>
                                        <w:div w:id="2042048695">
                                          <w:marLeft w:val="0"/>
                                          <w:marRight w:val="0"/>
                                          <w:marTop w:val="0"/>
                                          <w:marBottom w:val="0"/>
                                          <w:divBdr>
                                            <w:top w:val="none" w:sz="0" w:space="0" w:color="auto"/>
                                            <w:left w:val="none" w:sz="0" w:space="0" w:color="auto"/>
                                            <w:bottom w:val="none" w:sz="0" w:space="0" w:color="auto"/>
                                            <w:right w:val="none" w:sz="0" w:space="0" w:color="auto"/>
                                          </w:divBdr>
                                          <w:divsChild>
                                            <w:div w:id="118675246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591621">
      <w:bodyDiv w:val="1"/>
      <w:marLeft w:val="0"/>
      <w:marRight w:val="0"/>
      <w:marTop w:val="0"/>
      <w:marBottom w:val="0"/>
      <w:divBdr>
        <w:top w:val="none" w:sz="0" w:space="0" w:color="auto"/>
        <w:left w:val="none" w:sz="0" w:space="0" w:color="auto"/>
        <w:bottom w:val="none" w:sz="0" w:space="0" w:color="auto"/>
        <w:right w:val="none" w:sz="0" w:space="0" w:color="auto"/>
      </w:divBdr>
    </w:div>
    <w:div w:id="1014189898">
      <w:bodyDiv w:val="1"/>
      <w:marLeft w:val="0"/>
      <w:marRight w:val="0"/>
      <w:marTop w:val="0"/>
      <w:marBottom w:val="0"/>
      <w:divBdr>
        <w:top w:val="none" w:sz="0" w:space="0" w:color="auto"/>
        <w:left w:val="none" w:sz="0" w:space="0" w:color="auto"/>
        <w:bottom w:val="none" w:sz="0" w:space="0" w:color="auto"/>
        <w:right w:val="none" w:sz="0" w:space="0" w:color="auto"/>
      </w:divBdr>
    </w:div>
    <w:div w:id="1046873062">
      <w:bodyDiv w:val="1"/>
      <w:marLeft w:val="0"/>
      <w:marRight w:val="0"/>
      <w:marTop w:val="0"/>
      <w:marBottom w:val="0"/>
      <w:divBdr>
        <w:top w:val="none" w:sz="0" w:space="0" w:color="auto"/>
        <w:left w:val="none" w:sz="0" w:space="0" w:color="auto"/>
        <w:bottom w:val="none" w:sz="0" w:space="0" w:color="auto"/>
        <w:right w:val="none" w:sz="0" w:space="0" w:color="auto"/>
      </w:divBdr>
    </w:div>
    <w:div w:id="1166945800">
      <w:bodyDiv w:val="1"/>
      <w:marLeft w:val="0"/>
      <w:marRight w:val="0"/>
      <w:marTop w:val="0"/>
      <w:marBottom w:val="0"/>
      <w:divBdr>
        <w:top w:val="none" w:sz="0" w:space="0" w:color="auto"/>
        <w:left w:val="none" w:sz="0" w:space="0" w:color="auto"/>
        <w:bottom w:val="none" w:sz="0" w:space="0" w:color="auto"/>
        <w:right w:val="none" w:sz="0" w:space="0" w:color="auto"/>
      </w:divBdr>
    </w:div>
    <w:div w:id="1244031123">
      <w:bodyDiv w:val="1"/>
      <w:marLeft w:val="0"/>
      <w:marRight w:val="0"/>
      <w:marTop w:val="0"/>
      <w:marBottom w:val="0"/>
      <w:divBdr>
        <w:top w:val="none" w:sz="0" w:space="0" w:color="auto"/>
        <w:left w:val="none" w:sz="0" w:space="0" w:color="auto"/>
        <w:bottom w:val="none" w:sz="0" w:space="0" w:color="auto"/>
        <w:right w:val="none" w:sz="0" w:space="0" w:color="auto"/>
      </w:divBdr>
    </w:div>
    <w:div w:id="1303465261">
      <w:bodyDiv w:val="1"/>
      <w:marLeft w:val="0"/>
      <w:marRight w:val="0"/>
      <w:marTop w:val="0"/>
      <w:marBottom w:val="0"/>
      <w:divBdr>
        <w:top w:val="none" w:sz="0" w:space="0" w:color="auto"/>
        <w:left w:val="none" w:sz="0" w:space="0" w:color="auto"/>
        <w:bottom w:val="none" w:sz="0" w:space="0" w:color="auto"/>
        <w:right w:val="none" w:sz="0" w:space="0" w:color="auto"/>
      </w:divBdr>
    </w:div>
    <w:div w:id="1461071613">
      <w:bodyDiv w:val="1"/>
      <w:marLeft w:val="0"/>
      <w:marRight w:val="0"/>
      <w:marTop w:val="0"/>
      <w:marBottom w:val="0"/>
      <w:divBdr>
        <w:top w:val="none" w:sz="0" w:space="0" w:color="auto"/>
        <w:left w:val="none" w:sz="0" w:space="0" w:color="auto"/>
        <w:bottom w:val="none" w:sz="0" w:space="0" w:color="auto"/>
        <w:right w:val="none" w:sz="0" w:space="0" w:color="auto"/>
      </w:divBdr>
    </w:div>
    <w:div w:id="1512991751">
      <w:bodyDiv w:val="1"/>
      <w:marLeft w:val="0"/>
      <w:marRight w:val="0"/>
      <w:marTop w:val="0"/>
      <w:marBottom w:val="0"/>
      <w:divBdr>
        <w:top w:val="none" w:sz="0" w:space="0" w:color="auto"/>
        <w:left w:val="none" w:sz="0" w:space="0" w:color="auto"/>
        <w:bottom w:val="none" w:sz="0" w:space="0" w:color="auto"/>
        <w:right w:val="none" w:sz="0" w:space="0" w:color="auto"/>
      </w:divBdr>
    </w:div>
    <w:div w:id="1532767142">
      <w:bodyDiv w:val="1"/>
      <w:marLeft w:val="0"/>
      <w:marRight w:val="0"/>
      <w:marTop w:val="0"/>
      <w:marBottom w:val="0"/>
      <w:divBdr>
        <w:top w:val="none" w:sz="0" w:space="0" w:color="auto"/>
        <w:left w:val="none" w:sz="0" w:space="0" w:color="auto"/>
        <w:bottom w:val="none" w:sz="0" w:space="0" w:color="auto"/>
        <w:right w:val="none" w:sz="0" w:space="0" w:color="auto"/>
      </w:divBdr>
    </w:div>
    <w:div w:id="187264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16DC2-8F0E-449B-8DE8-4A13C5D9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3975</Words>
  <Characters>22663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Egzoni</Company>
  <LinksUpToDate>false</LinksUpToDate>
  <CharactersWithSpaces>26585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Se7ven</dc:creator>
  <cp:lastModifiedBy>Merita Daci</cp:lastModifiedBy>
  <cp:revision>9</cp:revision>
  <dcterms:created xsi:type="dcterms:W3CDTF">2018-07-13T08:40:00Z</dcterms:created>
  <dcterms:modified xsi:type="dcterms:W3CDTF">2018-07-13T09:25:00Z</dcterms:modified>
</cp:coreProperties>
</file>